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77FC" w14:textId="77777777" w:rsidR="00443864" w:rsidRPr="00443864" w:rsidRDefault="00443864" w:rsidP="00443864">
      <w:pPr>
        <w:jc w:val="both"/>
        <w:rPr>
          <w:rFonts w:ascii="Times New Roman" w:hAnsi="Times New Roman" w:cs="Times New Roman"/>
          <w:sz w:val="24"/>
          <w:szCs w:val="24"/>
        </w:rPr>
      </w:pPr>
    </w:p>
    <w:p w14:paraId="0279D76A" w14:textId="77777777" w:rsidR="00443864" w:rsidRPr="00443864" w:rsidRDefault="00443864" w:rsidP="00443864">
      <w:pPr>
        <w:jc w:val="center"/>
        <w:rPr>
          <w:rFonts w:ascii="Times New Roman" w:hAnsi="Times New Roman" w:cs="Times New Roman"/>
          <w:b/>
          <w:sz w:val="24"/>
          <w:szCs w:val="24"/>
        </w:rPr>
      </w:pPr>
      <w:r w:rsidRPr="00443864">
        <w:rPr>
          <w:rFonts w:ascii="Times New Roman" w:hAnsi="Times New Roman" w:cs="Times New Roman"/>
          <w:b/>
          <w:sz w:val="24"/>
          <w:szCs w:val="24"/>
        </w:rPr>
        <w:t>…………..……  Portföy Yönetimi A.Ş.</w:t>
      </w:r>
    </w:p>
    <w:p w14:paraId="1749C152" w14:textId="77777777" w:rsidR="00443864" w:rsidRPr="00443864" w:rsidRDefault="00443864" w:rsidP="00443864">
      <w:pPr>
        <w:jc w:val="center"/>
        <w:rPr>
          <w:rFonts w:ascii="Times New Roman" w:hAnsi="Times New Roman" w:cs="Times New Roman"/>
          <w:b/>
          <w:sz w:val="24"/>
          <w:szCs w:val="24"/>
        </w:rPr>
      </w:pPr>
      <w:r w:rsidRPr="00443864">
        <w:rPr>
          <w:rFonts w:ascii="Times New Roman" w:hAnsi="Times New Roman" w:cs="Times New Roman"/>
          <w:b/>
          <w:sz w:val="24"/>
          <w:szCs w:val="24"/>
        </w:rPr>
        <w:t>…………………………</w:t>
      </w:r>
      <w:r w:rsidRPr="00443864">
        <w:rPr>
          <w:rFonts w:ascii="Times New Roman" w:hAnsi="Times New Roman" w:cs="Times New Roman"/>
          <w:b/>
          <w:sz w:val="24"/>
          <w:szCs w:val="24"/>
          <w:vertAlign w:val="superscript"/>
        </w:rPr>
        <w:footnoteReference w:id="1"/>
      </w:r>
      <w:r w:rsidRPr="00443864">
        <w:rPr>
          <w:rFonts w:ascii="Times New Roman" w:hAnsi="Times New Roman" w:cs="Times New Roman"/>
          <w:b/>
          <w:sz w:val="24"/>
          <w:szCs w:val="24"/>
        </w:rPr>
        <w:t xml:space="preserve"> Şemsiye Fonu</w:t>
      </w:r>
    </w:p>
    <w:p w14:paraId="038A2908" w14:textId="77777777" w:rsidR="00443864" w:rsidRPr="00443864" w:rsidRDefault="00443864" w:rsidP="00443864">
      <w:pPr>
        <w:jc w:val="center"/>
        <w:rPr>
          <w:rFonts w:ascii="Times New Roman" w:hAnsi="Times New Roman" w:cs="Times New Roman"/>
          <w:b/>
          <w:sz w:val="24"/>
          <w:szCs w:val="24"/>
        </w:rPr>
      </w:pPr>
    </w:p>
    <w:p w14:paraId="6654D1E6"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MADDE 1- Şemsiye Fon’un Kuruluş Amacı ve Süresi</w:t>
      </w:r>
    </w:p>
    <w:p w14:paraId="5F055505"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1.1. </w:t>
      </w:r>
      <w:r w:rsidRPr="00443864">
        <w:rPr>
          <w:rFonts w:ascii="Times New Roman" w:hAnsi="Times New Roman" w:cs="Times New Roman"/>
          <w:sz w:val="24"/>
          <w:szCs w:val="24"/>
        </w:rPr>
        <w:t>…………………… Portföy Yönetimi A.Ş.</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tarafından 6362 sayılı Sermaye Piyasası Kanunu 'nun 52. ve 53. maddelerine dayanılarak ve bu içtüzük hükümlerine göre yönetilmek üzere tasarruf sahiplerinden katılma payları karşılığında toplanan paralarla</w:t>
      </w:r>
      <w:r w:rsidRPr="00443864">
        <w:rPr>
          <w:rFonts w:ascii="Times New Roman" w:hAnsi="Times New Roman" w:cs="Times New Roman"/>
          <w:sz w:val="24"/>
          <w:szCs w:val="24"/>
          <w:vertAlign w:val="superscript"/>
        </w:rPr>
        <w:footnoteReference w:id="2"/>
      </w:r>
      <w:r w:rsidRPr="00443864">
        <w:rPr>
          <w:rFonts w:ascii="Times New Roman" w:hAnsi="Times New Roman" w:cs="Times New Roman"/>
          <w:sz w:val="24"/>
          <w:szCs w:val="24"/>
        </w:rPr>
        <w:t xml:space="preserve">, tasarruf sahipleri hesabına, inançlı mülkiyet esaslarına göre, sermaye piyasası mevzuatında belirlenen varlık ve/veya işlemlerden oluşan portföyleri işletmek amacıyla ……………….. Portföy Yönetimi A.Ş. ………………….. Şemsiye Fonu kurulmuştur. </w:t>
      </w:r>
    </w:p>
    <w:p w14:paraId="6A9B934E"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1.2.</w:t>
      </w:r>
      <w:r w:rsidRPr="00443864">
        <w:rPr>
          <w:rFonts w:ascii="Times New Roman" w:hAnsi="Times New Roman" w:cs="Times New Roman"/>
          <w:sz w:val="24"/>
          <w:szCs w:val="24"/>
        </w:rPr>
        <w:t xml:space="preserve"> Şemsiye Fon, bu içtüzük kapsamında katılma payları ihraç edilen fonlardan oluşmaktadır.</w:t>
      </w:r>
    </w:p>
    <w:p w14:paraId="6D6F062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1.3.</w:t>
      </w:r>
      <w:r w:rsidRPr="00443864">
        <w:rPr>
          <w:rFonts w:ascii="Times New Roman" w:hAnsi="Times New Roman" w:cs="Times New Roman"/>
          <w:sz w:val="24"/>
          <w:szCs w:val="24"/>
        </w:rPr>
        <w:t xml:space="preserve"> Şemsiye Fon süresiz olarak kurulmuştur.</w:t>
      </w:r>
    </w:p>
    <w:p w14:paraId="574BF8CF"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1.4</w:t>
      </w:r>
      <w:r w:rsidRPr="00443864">
        <w:rPr>
          <w:rFonts w:ascii="Times New Roman" w:hAnsi="Times New Roman" w:cs="Times New Roman"/>
          <w:sz w:val="24"/>
          <w:szCs w:val="24"/>
        </w:rPr>
        <w:t xml:space="preserve">. Bu içtüzükte geçen; </w:t>
      </w:r>
    </w:p>
    <w:tbl>
      <w:tblPr>
        <w:tblW w:w="0" w:type="auto"/>
        <w:tblLook w:val="04A0" w:firstRow="1" w:lastRow="0" w:firstColumn="1" w:lastColumn="0" w:noHBand="0" w:noVBand="1"/>
      </w:tblPr>
      <w:tblGrid>
        <w:gridCol w:w="2352"/>
        <w:gridCol w:w="7052"/>
      </w:tblGrid>
      <w:tr w:rsidR="00443864" w:rsidRPr="00443864" w14:paraId="2B88B28A" w14:textId="77777777" w:rsidTr="00443864">
        <w:tc>
          <w:tcPr>
            <w:tcW w:w="2352" w:type="dxa"/>
            <w:shd w:val="clear" w:color="auto" w:fill="auto"/>
          </w:tcPr>
          <w:p w14:paraId="1894F3BE"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Finansal Raporlama Tebliği</w:t>
            </w:r>
          </w:p>
        </w:tc>
        <w:tc>
          <w:tcPr>
            <w:tcW w:w="7052" w:type="dxa"/>
            <w:shd w:val="clear" w:color="auto" w:fill="auto"/>
          </w:tcPr>
          <w:p w14:paraId="255791FF"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:II-14.2 sayılı Yatırım Fonlarının Finansal Raporlama Esaslarına İlişkin Tebliğ’ini,</w:t>
            </w:r>
          </w:p>
        </w:tc>
      </w:tr>
      <w:tr w:rsidR="00443864" w:rsidRPr="00443864" w14:paraId="05E88162" w14:textId="77777777" w:rsidTr="00443864">
        <w:tc>
          <w:tcPr>
            <w:tcW w:w="2352" w:type="dxa"/>
            <w:shd w:val="clear" w:color="auto" w:fill="auto"/>
          </w:tcPr>
          <w:p w14:paraId="363615E0"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Kanun</w:t>
            </w:r>
          </w:p>
        </w:tc>
        <w:tc>
          <w:tcPr>
            <w:tcW w:w="7052" w:type="dxa"/>
            <w:shd w:val="clear" w:color="auto" w:fill="auto"/>
          </w:tcPr>
          <w:p w14:paraId="53F1FFA0"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:6362 sayılı Sermaye Piyasası Kanunu’nu,</w:t>
            </w:r>
          </w:p>
        </w:tc>
      </w:tr>
      <w:tr w:rsidR="00443864" w:rsidRPr="00443864" w14:paraId="7CAD129B" w14:textId="77777777" w:rsidTr="00443864">
        <w:tc>
          <w:tcPr>
            <w:tcW w:w="2352" w:type="dxa"/>
            <w:shd w:val="clear" w:color="auto" w:fill="auto"/>
          </w:tcPr>
          <w:p w14:paraId="43B8416D"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KAP</w:t>
            </w:r>
          </w:p>
        </w:tc>
        <w:tc>
          <w:tcPr>
            <w:tcW w:w="7052" w:type="dxa"/>
            <w:shd w:val="clear" w:color="auto" w:fill="auto"/>
          </w:tcPr>
          <w:p w14:paraId="0EB2CE9D"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:Kamuyu Aydınlatma Platformu’nu,</w:t>
            </w:r>
          </w:p>
        </w:tc>
      </w:tr>
      <w:tr w:rsidR="00443864" w:rsidRPr="00443864" w14:paraId="16CC6B95" w14:textId="77777777" w:rsidTr="00443864">
        <w:tc>
          <w:tcPr>
            <w:tcW w:w="2352" w:type="dxa"/>
            <w:shd w:val="clear" w:color="auto" w:fill="auto"/>
          </w:tcPr>
          <w:p w14:paraId="16AFBFA5"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Kurucu</w:t>
            </w:r>
          </w:p>
        </w:tc>
        <w:tc>
          <w:tcPr>
            <w:tcW w:w="7052" w:type="dxa"/>
            <w:shd w:val="clear" w:color="auto" w:fill="auto"/>
          </w:tcPr>
          <w:p w14:paraId="6F57CFD1"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 Portföy Yönetimi</w:t>
            </w:r>
            <w:r w:rsidRPr="00443864">
              <w:rPr>
                <w:rFonts w:ascii="Times New Roman" w:hAnsi="Times New Roman" w:cs="Times New Roman"/>
                <w:sz w:val="24"/>
                <w:szCs w:val="24"/>
                <w:vertAlign w:val="superscript"/>
              </w:rPr>
              <w:t xml:space="preserve"> </w:t>
            </w:r>
            <w:r w:rsidRPr="00443864">
              <w:rPr>
                <w:rFonts w:ascii="Times New Roman" w:hAnsi="Times New Roman" w:cs="Times New Roman"/>
                <w:sz w:val="24"/>
                <w:szCs w:val="24"/>
              </w:rPr>
              <w:t>A.Ş.’yi,</w:t>
            </w:r>
          </w:p>
        </w:tc>
      </w:tr>
      <w:tr w:rsidR="00443864" w:rsidRPr="00443864" w14:paraId="4E469BE2" w14:textId="77777777" w:rsidTr="00443864">
        <w:tc>
          <w:tcPr>
            <w:tcW w:w="2352" w:type="dxa"/>
            <w:shd w:val="clear" w:color="auto" w:fill="auto"/>
          </w:tcPr>
          <w:p w14:paraId="3B47E0E9"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Kurul</w:t>
            </w:r>
          </w:p>
        </w:tc>
        <w:tc>
          <w:tcPr>
            <w:tcW w:w="7052" w:type="dxa"/>
            <w:shd w:val="clear" w:color="auto" w:fill="auto"/>
          </w:tcPr>
          <w:p w14:paraId="4F8C23CF"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:Sermaye Piyasası Kurulu’nu,</w:t>
            </w:r>
          </w:p>
        </w:tc>
      </w:tr>
      <w:tr w:rsidR="00443864" w:rsidRPr="00443864" w14:paraId="2644699D" w14:textId="77777777" w:rsidTr="00443864">
        <w:tc>
          <w:tcPr>
            <w:tcW w:w="2352" w:type="dxa"/>
            <w:shd w:val="clear" w:color="auto" w:fill="auto"/>
          </w:tcPr>
          <w:p w14:paraId="05D70539"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MKK</w:t>
            </w:r>
          </w:p>
        </w:tc>
        <w:tc>
          <w:tcPr>
            <w:tcW w:w="7052" w:type="dxa"/>
            <w:shd w:val="clear" w:color="auto" w:fill="auto"/>
          </w:tcPr>
          <w:p w14:paraId="24F00033"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:Merkezi Kayıt Kuruluşu A.Ş.’yi,</w:t>
            </w:r>
          </w:p>
        </w:tc>
      </w:tr>
      <w:tr w:rsidR="00443864" w:rsidRPr="00443864" w14:paraId="16245B46" w14:textId="77777777" w:rsidTr="00443864">
        <w:tc>
          <w:tcPr>
            <w:tcW w:w="2352" w:type="dxa"/>
            <w:shd w:val="clear" w:color="auto" w:fill="auto"/>
          </w:tcPr>
          <w:p w14:paraId="299471A5"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Portföy Saklayıcısı</w:t>
            </w:r>
          </w:p>
        </w:tc>
        <w:tc>
          <w:tcPr>
            <w:tcW w:w="7052" w:type="dxa"/>
            <w:shd w:val="clear" w:color="auto" w:fill="auto"/>
          </w:tcPr>
          <w:p w14:paraId="3ED896F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:Şemsiye Fon’a bağlı olarak ihraç edilen fonların</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sermaye piyasası mevzuatı kapsamında portföy saklama hizmetini yürüten kuruluşu,</w:t>
            </w:r>
          </w:p>
        </w:tc>
      </w:tr>
      <w:tr w:rsidR="00443864" w:rsidRPr="00443864" w14:paraId="7091D4A3" w14:textId="77777777" w:rsidTr="00443864">
        <w:tc>
          <w:tcPr>
            <w:tcW w:w="2352" w:type="dxa"/>
            <w:shd w:val="clear" w:color="auto" w:fill="auto"/>
          </w:tcPr>
          <w:p w14:paraId="0BCE423B"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PYŞ</w:t>
            </w:r>
            <w:r w:rsidRPr="00443864">
              <w:rPr>
                <w:rFonts w:ascii="Times New Roman" w:hAnsi="Times New Roman" w:cs="Times New Roman"/>
                <w:sz w:val="24"/>
                <w:szCs w:val="24"/>
              </w:rPr>
              <w:t xml:space="preserve"> </w:t>
            </w:r>
            <w:r w:rsidRPr="00443864">
              <w:rPr>
                <w:rFonts w:ascii="Times New Roman" w:hAnsi="Times New Roman" w:cs="Times New Roman"/>
                <w:b/>
                <w:sz w:val="24"/>
                <w:szCs w:val="24"/>
              </w:rPr>
              <w:t>Tebliği</w:t>
            </w:r>
          </w:p>
        </w:tc>
        <w:tc>
          <w:tcPr>
            <w:tcW w:w="7052" w:type="dxa"/>
            <w:shd w:val="clear" w:color="auto" w:fill="auto"/>
          </w:tcPr>
          <w:p w14:paraId="02CF94F3"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:III-55.1 sayılı Portföy Yönetim Şirketleri ve Bu Şirketlerin Faaliyetlerine İlişkin Esaslar Tebliği’ni,</w:t>
            </w:r>
          </w:p>
        </w:tc>
      </w:tr>
      <w:tr w:rsidR="00443864" w:rsidRPr="00443864" w14:paraId="61C0112E" w14:textId="77777777" w:rsidTr="00443864">
        <w:tc>
          <w:tcPr>
            <w:tcW w:w="2352" w:type="dxa"/>
            <w:shd w:val="clear" w:color="auto" w:fill="auto"/>
          </w:tcPr>
          <w:p w14:paraId="2597716C"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Şemsiye Fon</w:t>
            </w:r>
          </w:p>
        </w:tc>
        <w:tc>
          <w:tcPr>
            <w:tcW w:w="7052" w:type="dxa"/>
            <w:shd w:val="clear" w:color="auto" w:fill="auto"/>
          </w:tcPr>
          <w:p w14:paraId="3DE6FE8C"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   Şemsiye Fonu’nu,</w:t>
            </w:r>
          </w:p>
        </w:tc>
      </w:tr>
      <w:tr w:rsidR="00443864" w:rsidRPr="00443864" w14:paraId="1676CF59" w14:textId="77777777" w:rsidTr="00443864">
        <w:tc>
          <w:tcPr>
            <w:tcW w:w="2352" w:type="dxa"/>
            <w:shd w:val="clear" w:color="auto" w:fill="auto"/>
          </w:tcPr>
          <w:p w14:paraId="20600720"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Tebliğ</w:t>
            </w:r>
          </w:p>
        </w:tc>
        <w:tc>
          <w:tcPr>
            <w:tcW w:w="7052" w:type="dxa"/>
            <w:shd w:val="clear" w:color="auto" w:fill="auto"/>
          </w:tcPr>
          <w:p w14:paraId="1EFE224E"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:III-52.1 sayılı Yatırım Fonlarına İlişkin Esaslar Tebliği’ni,</w:t>
            </w:r>
          </w:p>
        </w:tc>
      </w:tr>
      <w:tr w:rsidR="00443864" w:rsidRPr="00443864" w14:paraId="40FAC01C" w14:textId="77777777" w:rsidTr="00443864">
        <w:tc>
          <w:tcPr>
            <w:tcW w:w="2352" w:type="dxa"/>
            <w:shd w:val="clear" w:color="auto" w:fill="auto"/>
          </w:tcPr>
          <w:p w14:paraId="66FD47F8"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Yönetici</w:t>
            </w:r>
          </w:p>
        </w:tc>
        <w:tc>
          <w:tcPr>
            <w:tcW w:w="7052" w:type="dxa"/>
            <w:shd w:val="clear" w:color="auto" w:fill="auto"/>
          </w:tcPr>
          <w:p w14:paraId="1DBEEF9B"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:Fonların portföy yönetimi faaliyetini yürüten ve PYŞ Tebliği hükümlerine göre kurulan</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portföy yönetim şirketi’ni</w:t>
            </w:r>
          </w:p>
        </w:tc>
      </w:tr>
    </w:tbl>
    <w:p w14:paraId="6EA8D1DA" w14:textId="77777777" w:rsidR="00443864" w:rsidRPr="00443864" w:rsidRDefault="00443864" w:rsidP="00443864">
      <w:pPr>
        <w:jc w:val="both"/>
        <w:rPr>
          <w:rFonts w:ascii="Times New Roman" w:hAnsi="Times New Roman" w:cs="Times New Roman"/>
          <w:sz w:val="24"/>
          <w:szCs w:val="24"/>
        </w:rPr>
      </w:pPr>
    </w:p>
    <w:p w14:paraId="5D8796AC"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ifade eder.</w:t>
      </w:r>
    </w:p>
    <w:p w14:paraId="35AC35B4"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1.5.</w:t>
      </w:r>
      <w:r w:rsidRPr="00443864">
        <w:rPr>
          <w:rFonts w:ascii="Times New Roman" w:hAnsi="Times New Roman" w:cs="Times New Roman"/>
          <w:sz w:val="24"/>
          <w:szCs w:val="24"/>
        </w:rPr>
        <w:t xml:space="preserve"> Bu içtüzük, katılma payı sahipleri ile kurucu, portföy saklayıcısı ve yönetici arasında fon portföyünün inançlı mülkiyet esaslarına göre işletilmesini, Kanun’un 56 ncı maddesi kapsamında saklanmasını, vekalet akdi hükümlerine göre yönetimini</w:t>
      </w:r>
      <w:r w:rsidRPr="00443864">
        <w:rPr>
          <w:rFonts w:ascii="Times New Roman" w:hAnsi="Times New Roman" w:cs="Times New Roman"/>
          <w:sz w:val="24"/>
          <w:szCs w:val="24"/>
          <w:vertAlign w:val="superscript"/>
        </w:rPr>
        <w:footnoteReference w:id="3"/>
      </w:r>
      <w:r w:rsidRPr="00443864">
        <w:rPr>
          <w:rFonts w:ascii="Times New Roman" w:hAnsi="Times New Roman" w:cs="Times New Roman"/>
          <w:sz w:val="24"/>
          <w:szCs w:val="24"/>
        </w:rPr>
        <w:t xml:space="preserve"> konu alan genel işlem şartlarını içeren iltihaki bir sözleşmedir.</w:t>
      </w:r>
    </w:p>
    <w:p w14:paraId="2A94FF7A" w14:textId="77777777" w:rsidR="00443864" w:rsidRPr="00443864" w:rsidRDefault="00443864" w:rsidP="00443864">
      <w:pPr>
        <w:jc w:val="both"/>
        <w:rPr>
          <w:rFonts w:ascii="Times New Roman" w:hAnsi="Times New Roman" w:cs="Times New Roman"/>
          <w:sz w:val="24"/>
          <w:szCs w:val="24"/>
        </w:rPr>
      </w:pPr>
    </w:p>
    <w:p w14:paraId="3119B0EE"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2- Şemsiye Fon’un Unvanı ile Kurucu, Yönetici ve Portföy Saklayıcısı’na İlişkin Bilgi</w:t>
      </w:r>
    </w:p>
    <w:p w14:paraId="41A56A7C"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2.1. </w:t>
      </w:r>
      <w:r w:rsidRPr="00443864">
        <w:rPr>
          <w:rFonts w:ascii="Times New Roman" w:hAnsi="Times New Roman" w:cs="Times New Roman"/>
          <w:sz w:val="24"/>
          <w:szCs w:val="24"/>
        </w:rPr>
        <w:t>Şemsiye</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Fon’un unvanı;…………………………….Şemsiye Fonu’dur</w:t>
      </w:r>
      <w:r w:rsidRPr="00443864">
        <w:rPr>
          <w:rFonts w:ascii="Times New Roman" w:hAnsi="Times New Roman" w:cs="Times New Roman"/>
          <w:sz w:val="24"/>
          <w:szCs w:val="24"/>
          <w:vertAlign w:val="superscript"/>
        </w:rPr>
        <w:footnoteReference w:id="4"/>
      </w:r>
      <w:r w:rsidRPr="00443864">
        <w:rPr>
          <w:rFonts w:ascii="Times New Roman" w:hAnsi="Times New Roman" w:cs="Times New Roman"/>
          <w:sz w:val="24"/>
          <w:szCs w:val="24"/>
        </w:rPr>
        <w:t xml:space="preserve">.    </w:t>
      </w:r>
    </w:p>
    <w:p w14:paraId="01F2F09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2.2. </w:t>
      </w:r>
      <w:r w:rsidRPr="00443864">
        <w:rPr>
          <w:rFonts w:ascii="Times New Roman" w:hAnsi="Times New Roman" w:cs="Times New Roman"/>
          <w:sz w:val="24"/>
          <w:szCs w:val="24"/>
        </w:rPr>
        <w:t>Kurucu’nun;</w:t>
      </w:r>
    </w:p>
    <w:p w14:paraId="600486A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 xml:space="preserve">       Unvanı; …………………….Portföy Yönetimi A.Ş.</w:t>
      </w:r>
    </w:p>
    <w:p w14:paraId="28AE9E8C"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Merkez Adresi;…………………………</w:t>
      </w:r>
    </w:p>
    <w:p w14:paraId="4E051E3A"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İnternet Sitesi: ……………………………</w:t>
      </w:r>
    </w:p>
    <w:p w14:paraId="356567D8"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2.3. </w:t>
      </w:r>
      <w:r w:rsidRPr="00443864">
        <w:rPr>
          <w:rFonts w:ascii="Times New Roman" w:hAnsi="Times New Roman" w:cs="Times New Roman"/>
          <w:sz w:val="24"/>
          <w:szCs w:val="24"/>
        </w:rPr>
        <w:t>Yönetici/leri’nin;</w:t>
      </w:r>
    </w:p>
    <w:p w14:paraId="0E4D9BF8"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 xml:space="preserve">       Unvanı;…………………….. Portföy Yönetimi A.Ş. </w:t>
      </w:r>
    </w:p>
    <w:p w14:paraId="52652C0B"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 xml:space="preserve">       Merkez Adresi; …………………………………..</w:t>
      </w:r>
    </w:p>
    <w:p w14:paraId="0E578F9F"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İnternet Sitesi: ……………………………</w:t>
      </w:r>
    </w:p>
    <w:p w14:paraId="502D7045"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2.4.</w:t>
      </w:r>
      <w:r w:rsidRPr="00443864">
        <w:rPr>
          <w:rFonts w:ascii="Times New Roman" w:hAnsi="Times New Roman" w:cs="Times New Roman"/>
          <w:sz w:val="24"/>
          <w:szCs w:val="24"/>
        </w:rPr>
        <w:t xml:space="preserve"> Portföy Saklayıcısı Kuruluşun;</w:t>
      </w:r>
    </w:p>
    <w:p w14:paraId="7A38F90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 xml:space="preserve">       Unvanı;……………. A.Ş.</w:t>
      </w:r>
    </w:p>
    <w:p w14:paraId="76B68C4F"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 xml:space="preserve">       Merkez Adresi; …………………………</w:t>
      </w:r>
    </w:p>
    <w:p w14:paraId="54319BD3"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rPr>
        <w:t>İnternet Sitesi: ……………………………</w:t>
      </w:r>
    </w:p>
    <w:p w14:paraId="0E33C180"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3- Şemsiye Fon’a Bağlı Fonların İhraç Edilmesi</w:t>
      </w:r>
    </w:p>
    <w:p w14:paraId="729308CA"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3.1. </w:t>
      </w:r>
      <w:r w:rsidRPr="00443864">
        <w:rPr>
          <w:rFonts w:ascii="Times New Roman" w:hAnsi="Times New Roman" w:cs="Times New Roman"/>
          <w:sz w:val="24"/>
          <w:szCs w:val="24"/>
        </w:rPr>
        <w:t>Şemsiye Fon’a bağlı fonların katılma payları halka arz edilir veya belirli kişi ve/veya kuruluşlara tahsisli olarak satılır</w:t>
      </w:r>
      <w:r w:rsidRPr="00443864">
        <w:rPr>
          <w:rFonts w:ascii="Times New Roman" w:hAnsi="Times New Roman" w:cs="Times New Roman"/>
          <w:sz w:val="24"/>
          <w:szCs w:val="24"/>
          <w:vertAlign w:val="superscript"/>
        </w:rPr>
        <w:footnoteReference w:id="5"/>
      </w:r>
      <w:r w:rsidRPr="00443864">
        <w:rPr>
          <w:rFonts w:ascii="Times New Roman" w:hAnsi="Times New Roman" w:cs="Times New Roman"/>
          <w:sz w:val="24"/>
          <w:szCs w:val="24"/>
        </w:rPr>
        <w:t>.</w:t>
      </w:r>
    </w:p>
    <w:p w14:paraId="0DC51D8E"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3.2.</w:t>
      </w:r>
      <w:r w:rsidRPr="00443864">
        <w:rPr>
          <w:rFonts w:ascii="Times New Roman" w:hAnsi="Times New Roman" w:cs="Times New Roman"/>
          <w:sz w:val="24"/>
          <w:szCs w:val="24"/>
        </w:rPr>
        <w:t xml:space="preserve"> Şemsiye Fon’a bağlı her bir fonun katılma payı ihracı için, Kurulca belirlenen standartlara uygun olarak hazırlanan izahname ve yatırımcı bilgi formu ile Kurulca istenen diğer bilgi ve belgelerle birlikte Kurucu tarafından Kurul’a başvurulur. </w:t>
      </w:r>
    </w:p>
    <w:p w14:paraId="5E0B80EA"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lastRenderedPageBreak/>
        <w:t>3.3.</w:t>
      </w:r>
      <w:r w:rsidRPr="00443864">
        <w:rPr>
          <w:rFonts w:ascii="Times New Roman" w:hAnsi="Times New Roman" w:cs="Times New Roman"/>
          <w:sz w:val="24"/>
          <w:szCs w:val="24"/>
        </w:rPr>
        <w:t xml:space="preserve"> Katılma payları karşılığı yatırımcılardan toplanan para</w:t>
      </w:r>
      <w:r w:rsidRPr="00443864">
        <w:rPr>
          <w:rFonts w:ascii="Times New Roman" w:hAnsi="Times New Roman" w:cs="Times New Roman"/>
          <w:sz w:val="24"/>
          <w:szCs w:val="24"/>
          <w:vertAlign w:val="superscript"/>
        </w:rPr>
        <w:footnoteReference w:id="6"/>
      </w:r>
      <w:r w:rsidRPr="00443864">
        <w:rPr>
          <w:rFonts w:ascii="Times New Roman" w:hAnsi="Times New Roman" w:cs="Times New Roman"/>
          <w:sz w:val="24"/>
          <w:szCs w:val="24"/>
        </w:rPr>
        <w:t xml:space="preserve"> takip eden iş günü izahnamede belirlenen varlıklara ve işlemlere yatırılır. Garantili ve koruma amaçlı fonlarda talep toplanması halinde, belirtilen süre iki iş günü olarak uygulanır ve söz konusu sürenin hesaplanmasında talep toplamanın sona erdiği gün esas alınır</w:t>
      </w:r>
      <w:r w:rsidRPr="00443864">
        <w:rPr>
          <w:rFonts w:ascii="Times New Roman" w:hAnsi="Times New Roman" w:cs="Times New Roman"/>
          <w:sz w:val="24"/>
          <w:szCs w:val="24"/>
          <w:vertAlign w:val="superscript"/>
        </w:rPr>
        <w:footnoteReference w:id="7"/>
      </w:r>
      <w:r w:rsidRPr="00443864">
        <w:rPr>
          <w:rFonts w:ascii="Times New Roman" w:hAnsi="Times New Roman" w:cs="Times New Roman"/>
          <w:sz w:val="24"/>
          <w:szCs w:val="24"/>
        </w:rPr>
        <w:t>.</w:t>
      </w:r>
    </w:p>
    <w:p w14:paraId="7A5D70EA"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3.4</w:t>
      </w:r>
      <w:r w:rsidRPr="00443864">
        <w:rPr>
          <w:rFonts w:ascii="Times New Roman" w:hAnsi="Times New Roman" w:cs="Times New Roman"/>
          <w:sz w:val="24"/>
          <w:szCs w:val="24"/>
        </w:rPr>
        <w:t xml:space="preserve">. Katılma paylarının itibari değeri yoktur ve kaydi değer olarak tutulur. Katılma payları, Şemsiye Fon’a bağlı fonlar itibariyle kaydi olarak MKK nezdinde müşteri bazında izlenir. Katılma payları bastırılamaz ve fiziken teslim edilemez. </w:t>
      </w:r>
    </w:p>
    <w:p w14:paraId="6DC1AE0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3.5.</w:t>
      </w:r>
      <w:r w:rsidRPr="00443864">
        <w:rPr>
          <w:rFonts w:ascii="Times New Roman" w:hAnsi="Times New Roman" w:cs="Times New Roman"/>
          <w:sz w:val="24"/>
          <w:szCs w:val="24"/>
        </w:rPr>
        <w:t xml:space="preserve"> Katılma payı işlemleri günlük olarak MKK’ya bildirilir. </w:t>
      </w:r>
    </w:p>
    <w:p w14:paraId="3A3E2779"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3.6.</w:t>
      </w:r>
      <w:r w:rsidRPr="00443864">
        <w:rPr>
          <w:rFonts w:ascii="Times New Roman" w:hAnsi="Times New Roman" w:cs="Times New Roman"/>
          <w:sz w:val="24"/>
          <w:szCs w:val="24"/>
        </w:rPr>
        <w:t xml:space="preserve"> Katılma payları MKK nezdindeki hesaplarda, her müşterinin kimlik bilgileri ve buna bağlı hesap kodları ile fon bazında takip edilir.</w:t>
      </w:r>
    </w:p>
    <w:p w14:paraId="7D7D1A34"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 xml:space="preserve">MADDE 4- Şemsiye Fon’a Bağlı Fonların Saklanmasına ve Malvarlığının Ayrılığına İlişkin Esaslar </w:t>
      </w:r>
    </w:p>
    <w:p w14:paraId="43634782"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4.1. </w:t>
      </w:r>
      <w:r w:rsidRPr="00443864">
        <w:rPr>
          <w:rFonts w:ascii="Times New Roman" w:hAnsi="Times New Roman" w:cs="Times New Roman"/>
          <w:sz w:val="24"/>
          <w:szCs w:val="24"/>
        </w:rPr>
        <w:t>Şemsiye Fon’a bağlı her bir</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fonun tüm varlık ve yükümlülükleri birbirinden ve ayrıca Kurucu ile Portföy Saklayıcısının malvarlığından ayrıdır.</w:t>
      </w:r>
    </w:p>
    <w:p w14:paraId="52BB2190"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4.2.</w:t>
      </w:r>
      <w:r w:rsidRPr="00443864">
        <w:rPr>
          <w:rFonts w:ascii="Times New Roman" w:hAnsi="Times New Roman" w:cs="Times New Roman"/>
          <w:sz w:val="24"/>
          <w:szCs w:val="24"/>
        </w:rPr>
        <w:t xml:space="preserve"> Şemsiye Fon’a bağlı fonların malvarlığı, fon hesabına olması, içtüzükte ve izahnamede hüküm bulunması şartıyla kredi almak, türev araç işlemleri</w:t>
      </w:r>
      <w:r w:rsidRPr="00443864" w:rsidDel="005C26FA">
        <w:rPr>
          <w:rFonts w:ascii="Times New Roman" w:hAnsi="Times New Roman" w:cs="Times New Roman"/>
          <w:sz w:val="24"/>
          <w:szCs w:val="24"/>
        </w:rPr>
        <w:t xml:space="preserve"> </w:t>
      </w:r>
      <w:r w:rsidRPr="00443864">
        <w:rPr>
          <w:rFonts w:ascii="Times New Roman" w:hAnsi="Times New Roman" w:cs="Times New Roman"/>
          <w:sz w:val="24"/>
          <w:szCs w:val="24"/>
        </w:rPr>
        <w:t>veya fon adına taraf olunan benzer nitelikteki işlemlerde bulunmak haricinde teminat gösterilemez ve rehnedilemez</w:t>
      </w:r>
      <w:r w:rsidRPr="00443864">
        <w:rPr>
          <w:rFonts w:ascii="Times New Roman" w:hAnsi="Times New Roman" w:cs="Times New Roman"/>
          <w:sz w:val="24"/>
          <w:szCs w:val="24"/>
          <w:vertAlign w:val="superscript"/>
        </w:rPr>
        <w:footnoteReference w:id="8"/>
      </w:r>
      <w:r w:rsidRPr="00443864">
        <w:rPr>
          <w:rFonts w:ascii="Times New Roman" w:hAnsi="Times New Roman" w:cs="Times New Roman"/>
          <w:sz w:val="24"/>
          <w:szCs w:val="24"/>
        </w:rPr>
        <w:t>. Şemsiye Fon’a bağlı fonların malvarlığı Kurucunun ve Portföy Saklayıcısının yönetiminin veya denetiminin kamu kurumlarına devredilmesi halinde dahi başka bir amaçla tasarruf edilemez, kamu alacaklarının tahsili amacı da dahil olmak üzere haczedilemez, üzerine ihtiyati tedbir konulamaz ve iflas masasına dahil edilemez.</w:t>
      </w:r>
    </w:p>
    <w:p w14:paraId="70037B42"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4.3.</w:t>
      </w:r>
      <w:r w:rsidRPr="00443864">
        <w:rPr>
          <w:rFonts w:ascii="Times New Roman" w:hAnsi="Times New Roman" w:cs="Times New Roman"/>
          <w:sz w:val="24"/>
          <w:szCs w:val="24"/>
        </w:rPr>
        <w:t xml:space="preserve"> Şemsiye Fon’a bağlı fonların portföylerindeki varlıkların, Kurul’un portföy saklama hizmetine ilişkin düzenlemeleri çerçevesinde Portföy Saklayıcısı nezdinde saklanması zorunludur. Saklamaya ilişkin olarak Kurul’un ilgili diğer düzenlemelerinde yer alan esaslar saklıdır.</w:t>
      </w:r>
    </w:p>
    <w:p w14:paraId="509C8D09"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4.4.</w:t>
      </w:r>
      <w:r w:rsidRPr="00443864">
        <w:rPr>
          <w:rFonts w:ascii="Times New Roman" w:hAnsi="Times New Roman" w:cs="Times New Roman"/>
          <w:sz w:val="24"/>
          <w:szCs w:val="24"/>
        </w:rPr>
        <w:t xml:space="preserve"> Kurucunun üçüncü kişilere olan borçları ve yükümlülükleri ile Şemsiye Fon’a bağlı fonların aynı üçüncü kişilerden olan alacakları birbirlerine karşı mahsup edilemez.</w:t>
      </w:r>
    </w:p>
    <w:p w14:paraId="20DB6811" w14:textId="77777777" w:rsidR="00443864" w:rsidRPr="00443864" w:rsidRDefault="00443864" w:rsidP="00443864">
      <w:pPr>
        <w:jc w:val="both"/>
        <w:rPr>
          <w:rFonts w:ascii="Times New Roman" w:hAnsi="Times New Roman" w:cs="Times New Roman"/>
          <w:sz w:val="24"/>
          <w:szCs w:val="24"/>
        </w:rPr>
      </w:pPr>
    </w:p>
    <w:p w14:paraId="1C3406D4"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5- Şemsiye Fon’a Bağlı Fonların Yönetimine İlişkin Esaslar ile Yönetici’nin Tabi Olduğu İlkeler</w:t>
      </w:r>
    </w:p>
    <w:p w14:paraId="12F6C4C4"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5.1.</w:t>
      </w:r>
      <w:r w:rsidRPr="00443864">
        <w:rPr>
          <w:rFonts w:ascii="Times New Roman" w:hAnsi="Times New Roman" w:cs="Times New Roman"/>
          <w:sz w:val="24"/>
          <w:szCs w:val="24"/>
        </w:rPr>
        <w:t xml:space="preserve"> Kurucu, Şemsiye Fon’a bağlı fonların katılma payı sahiplerinin haklarını koruyacak şekilde temsili, yönetimi, yönetiminin denetlenmesi ile faaliyetlerinin bu içtüzük ve fon izahnameleri hükümlerine uygun olarak yürütülmesinden sorumludur. Kurucu Şemsiye Fon’a bağlı fonlara ait varlıklar üzerinde kendi adına ve fon hesabına mevzuat ve bu içtüzüğe uygun olarak tasarrufta bulunmaya ve bundan doğan hakları kullanmaya yetkilidir. </w:t>
      </w:r>
    </w:p>
    <w:p w14:paraId="1FE74D33"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lastRenderedPageBreak/>
        <w:t>5.2.</w:t>
      </w:r>
      <w:r w:rsidRPr="00443864">
        <w:rPr>
          <w:rFonts w:ascii="Times New Roman" w:hAnsi="Times New Roman" w:cs="Times New Roman"/>
          <w:sz w:val="24"/>
          <w:szCs w:val="24"/>
        </w:rPr>
        <w:t xml:space="preserve"> Fonu temsil ve ilzama Kurucu’nun yönetim kurulu yetkilidir. Yönetim kurulu bu yetkisini bir veya daha fazla murahhas üyeye veya müdür olarak üçüncü kişilere devredebilir.</w:t>
      </w:r>
    </w:p>
    <w:p w14:paraId="078967A3"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5.3.</w:t>
      </w:r>
      <w:r w:rsidRPr="00443864">
        <w:rPr>
          <w:rFonts w:ascii="Times New Roman" w:hAnsi="Times New Roman" w:cs="Times New Roman"/>
          <w:sz w:val="24"/>
          <w:szCs w:val="24"/>
        </w:rPr>
        <w:t xml:space="preserve"> Şemsiye Fon’un ve Şemsiye Fon’a bağlı fonların faaliyetlerinin yürütülmesi esnasında portföy yöneticiliği hizmeti dahil dışarıdan sağlanan hizmetlerden yararlanılması, Kurucunun sorumluluğunu ortadan kaldırmaz.</w:t>
      </w:r>
      <w:r w:rsidRPr="00443864" w:rsidDel="000C7837">
        <w:rPr>
          <w:rFonts w:ascii="Times New Roman" w:hAnsi="Times New Roman" w:cs="Times New Roman"/>
          <w:sz w:val="24"/>
          <w:szCs w:val="24"/>
        </w:rPr>
        <w:t xml:space="preserve"> </w:t>
      </w:r>
    </w:p>
    <w:p w14:paraId="3D597DFB"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5.4.</w:t>
      </w:r>
      <w:r w:rsidRPr="00443864">
        <w:rPr>
          <w:rFonts w:ascii="Times New Roman" w:hAnsi="Times New Roman" w:cs="Times New Roman"/>
          <w:sz w:val="24"/>
          <w:szCs w:val="24"/>
        </w:rPr>
        <w:t xml:space="preserve"> Şemsiye Fon’a bağlı fonların portföyleri, Yönetici tarafından sermaye piyasası mevzuatı hükümleri kapsamında, Kurul düzenlemelerine uygun olarak yapılacak bir portföy yönetim sözleşmesi çerçevesinde bu içtüzük, fon izahnameleri ve Tebliğ hükümleri dahilinde yönetilir</w:t>
      </w:r>
      <w:r w:rsidRPr="00443864">
        <w:rPr>
          <w:rFonts w:ascii="Times New Roman" w:hAnsi="Times New Roman" w:cs="Times New Roman"/>
          <w:sz w:val="24"/>
          <w:szCs w:val="24"/>
          <w:vertAlign w:val="superscript"/>
        </w:rPr>
        <w:footnoteReference w:id="9"/>
      </w:r>
      <w:r w:rsidRPr="00443864">
        <w:rPr>
          <w:rFonts w:ascii="Times New Roman" w:hAnsi="Times New Roman" w:cs="Times New Roman"/>
          <w:sz w:val="24"/>
          <w:szCs w:val="24"/>
        </w:rPr>
        <w:t xml:space="preserve">. </w:t>
      </w:r>
    </w:p>
    <w:p w14:paraId="2D42CEA4"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 xml:space="preserve">5.5. </w:t>
      </w:r>
      <w:r w:rsidRPr="00443864">
        <w:rPr>
          <w:rFonts w:ascii="Times New Roman" w:hAnsi="Times New Roman" w:cs="Times New Roman"/>
          <w:sz w:val="24"/>
          <w:szCs w:val="24"/>
        </w:rPr>
        <w:t>Yöneticinin yönettiği her fonun ve Şemsiye Fon’a bağlı olarak bu içtüzük kapsamında ihraç edilecek fonların çıkarını ayrı ayrı gözetmesi zorunludur.</w:t>
      </w:r>
    </w:p>
    <w:p w14:paraId="76FE35DA"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5.6.</w:t>
      </w:r>
      <w:r w:rsidRPr="00443864">
        <w:rPr>
          <w:rFonts w:ascii="Times New Roman" w:hAnsi="Times New Roman" w:cs="Times New Roman"/>
          <w:sz w:val="24"/>
          <w:szCs w:val="24"/>
        </w:rPr>
        <w:t xml:space="preserve"> Şemsiye Fon ve Şemsiye Fon’a bağlı fonlarla ilgili işlemlerin düzgün yürütülebilmesini teminen PYŞ Tebliğ’i hükümleri çerçevesinde bir fon hizmet birimi oluşturulur.</w:t>
      </w:r>
    </w:p>
    <w:p w14:paraId="1164E8F4"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5.7.</w:t>
      </w:r>
      <w:r w:rsidRPr="00443864">
        <w:rPr>
          <w:rFonts w:ascii="Times New Roman" w:hAnsi="Times New Roman" w:cs="Times New Roman"/>
          <w:sz w:val="24"/>
          <w:szCs w:val="24"/>
        </w:rPr>
        <w:t xml:space="preserve"> Kurucu ile katılma payı sahipleri arasındaki ilişkilere Kanun, ilgili mevzuat ve içtüzükte hükümleri, hüküm bulunmayan hâllerde ise 11.01.2011 tarihli ve 6098 sayılı Türk Borçlar Kanununun 502 ilâ 514 üncü maddeleri hükümleri kıyasen uygulanır.</w:t>
      </w:r>
    </w:p>
    <w:p w14:paraId="67499CC0"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6- Şemsiye Fon ile Şemsiye Fon’a Bağlı Fonların Yatırım Amacı, Portföy Yönetim Stratejisi ile Bu Fonlarda Yatırım Yapılacak Sermaye Piyasası Araçlarının Seçimi Ve Riskin Dağıtılması Esasları</w:t>
      </w:r>
    </w:p>
    <w:p w14:paraId="0E0F4FDD"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6.1</w:t>
      </w:r>
      <w:r w:rsidRPr="00443864">
        <w:rPr>
          <w:rFonts w:ascii="Times New Roman" w:hAnsi="Times New Roman" w:cs="Times New Roman"/>
          <w:sz w:val="24"/>
          <w:szCs w:val="24"/>
        </w:rPr>
        <w:t>. Şemsiye Fon’a bağlı fonların</w:t>
      </w:r>
      <w:r w:rsidRPr="00443864" w:rsidDel="003B466E">
        <w:rPr>
          <w:rFonts w:ascii="Times New Roman" w:hAnsi="Times New Roman" w:cs="Times New Roman"/>
          <w:sz w:val="24"/>
          <w:szCs w:val="24"/>
        </w:rPr>
        <w:t xml:space="preserve"> </w:t>
      </w:r>
      <w:r w:rsidRPr="00443864">
        <w:rPr>
          <w:rFonts w:ascii="Times New Roman" w:hAnsi="Times New Roman" w:cs="Times New Roman"/>
          <w:sz w:val="24"/>
          <w:szCs w:val="24"/>
        </w:rPr>
        <w:t xml:space="preserve">portföylerine alınacak varlıklar ve işlemlere ilişkin olarak Tebliğ ve Kurul’un ilgili diğer düzenlemelerinde yer alan esaslara uyulur. </w:t>
      </w:r>
    </w:p>
    <w:p w14:paraId="7C778A27" w14:textId="0A6F526E"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6.2.</w:t>
      </w:r>
      <w:r w:rsidRPr="00443864">
        <w:rPr>
          <w:rFonts w:ascii="Times New Roman" w:hAnsi="Times New Roman" w:cs="Times New Roman"/>
          <w:sz w:val="24"/>
          <w:szCs w:val="24"/>
        </w:rPr>
        <w:t xml:space="preserve"> </w:t>
      </w:r>
      <w:r w:rsidR="000206D2" w:rsidRPr="000206D2">
        <w:rPr>
          <w:sz w:val="24"/>
          <w:szCs w:val="24"/>
        </w:rPr>
        <w:t xml:space="preserve"> </w:t>
      </w:r>
      <w:r w:rsidRPr="00443864">
        <w:rPr>
          <w:rFonts w:ascii="Times New Roman" w:hAnsi="Times New Roman" w:cs="Times New Roman"/>
          <w:sz w:val="24"/>
          <w:szCs w:val="24"/>
        </w:rPr>
        <w:t xml:space="preserve">Şemsiye Fon’a bağlı fonların yatırım amaçları ile portföy yönetim stratejilerine ve fonların portföylerine alınabilecek varlık ve işlemlerin seçimi ile riskin dağıtılması esaslarına ilişkin ayrıntılı bilgilere ilgili fonların izahnamelerinde yer verilmektedir. </w:t>
      </w:r>
    </w:p>
    <w:p w14:paraId="10FBF534"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7-</w:t>
      </w:r>
      <w:r w:rsidRPr="00443864">
        <w:rPr>
          <w:rFonts w:ascii="Times New Roman" w:hAnsi="Times New Roman" w:cs="Times New Roman"/>
          <w:b/>
          <w:sz w:val="24"/>
          <w:szCs w:val="24"/>
        </w:rPr>
        <w:tab/>
        <w:t>Şemsiye Fon’a Bağlı Fonların Katılma Paylarının Satım ve Geri Alım Fiyatlarının Tespiti Usulü ile Fon Portföy ve Fon Toplam Değerinin Belirlenmesi Esasları</w:t>
      </w:r>
    </w:p>
    <w:p w14:paraId="2CFA8942"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7.1. </w:t>
      </w:r>
      <w:r w:rsidRPr="00443864">
        <w:rPr>
          <w:rFonts w:ascii="Times New Roman" w:hAnsi="Times New Roman" w:cs="Times New Roman"/>
          <w:sz w:val="24"/>
          <w:szCs w:val="24"/>
        </w:rPr>
        <w:t xml:space="preserve">Şemsiye Fon’a bağlı her bir fonun birim pay değeri Finansal Raporlama Tebliği’nde belirlenen esaslar çerçevesinde ayrı ayrı hesaplanır. </w:t>
      </w:r>
    </w:p>
    <w:p w14:paraId="227079C0"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7.2. </w:t>
      </w:r>
      <w:r w:rsidRPr="00443864">
        <w:rPr>
          <w:rFonts w:ascii="Times New Roman" w:hAnsi="Times New Roman" w:cs="Times New Roman"/>
          <w:sz w:val="24"/>
          <w:szCs w:val="24"/>
        </w:rPr>
        <w:t>Şemsiye Fon’a bağlı fonların</w:t>
      </w:r>
      <w:r w:rsidRPr="00443864" w:rsidDel="003B466E">
        <w:rPr>
          <w:rFonts w:ascii="Times New Roman" w:hAnsi="Times New Roman" w:cs="Times New Roman"/>
          <w:sz w:val="24"/>
          <w:szCs w:val="24"/>
        </w:rPr>
        <w:t xml:space="preserve"> </w:t>
      </w:r>
      <w:r w:rsidRPr="00443864">
        <w:rPr>
          <w:rFonts w:ascii="Times New Roman" w:hAnsi="Times New Roman" w:cs="Times New Roman"/>
          <w:sz w:val="24"/>
          <w:szCs w:val="24"/>
        </w:rPr>
        <w:t xml:space="preserve">katılma paylarının satım ve geri alım fiyatlarının tespiti usulü ile fon portföy ve toplam değerinin belirlenmesine ilişkin esaslara fon izahnamelerinde yer verilmektedir. </w:t>
      </w:r>
    </w:p>
    <w:p w14:paraId="4FFB8D3F"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8- Bağımsız Denetim, Finansal Raporlama ile Gelir ve Giderlerin Katılma Payı Sahiplerine Yansıtılmasına İlişkin Esaslar</w:t>
      </w:r>
    </w:p>
    <w:p w14:paraId="00668335"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lastRenderedPageBreak/>
        <w:t xml:space="preserve">8.1. </w:t>
      </w:r>
      <w:r w:rsidRPr="00443864">
        <w:rPr>
          <w:rFonts w:ascii="Times New Roman" w:hAnsi="Times New Roman" w:cs="Times New Roman"/>
          <w:sz w:val="24"/>
          <w:szCs w:val="24"/>
        </w:rPr>
        <w:t xml:space="preserve"> Şemsiye Fon’un hesap dönemi takvim yılıdır. Ancak ilk hesap dönemi Şemsiye Fon’un kuruluş tarihinden başlayarak o yılın Aralık ayının sonuna kadar olan süredir.</w:t>
      </w:r>
      <w:r w:rsidRPr="00443864">
        <w:rPr>
          <w:rFonts w:ascii="Times New Roman" w:hAnsi="Times New Roman" w:cs="Times New Roman"/>
          <w:sz w:val="24"/>
          <w:szCs w:val="24"/>
          <w:vertAlign w:val="superscript"/>
        </w:rPr>
        <w:footnoteReference w:id="10"/>
      </w:r>
      <w:r w:rsidRPr="00443864">
        <w:rPr>
          <w:rFonts w:ascii="Times New Roman" w:hAnsi="Times New Roman" w:cs="Times New Roman"/>
          <w:sz w:val="24"/>
          <w:szCs w:val="24"/>
        </w:rPr>
        <w:t xml:space="preserve"> </w:t>
      </w:r>
    </w:p>
    <w:p w14:paraId="77C42925"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8.2. </w:t>
      </w:r>
      <w:r w:rsidRPr="00443864">
        <w:rPr>
          <w:rFonts w:ascii="Times New Roman" w:hAnsi="Times New Roman" w:cs="Times New Roman"/>
          <w:sz w:val="24"/>
          <w:szCs w:val="24"/>
        </w:rPr>
        <w:t>Şemsiye Fon ile Şemsiye Fon’a bağlı fonlara ilişkin finansal raporların hazırlanmasında Finansal Raporlama Tebliği’nde yer alan usul ve esaslara uyulur.</w:t>
      </w:r>
    </w:p>
    <w:p w14:paraId="3B6B66AE"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8.3.</w:t>
      </w:r>
      <w:r w:rsidRPr="00443864">
        <w:rPr>
          <w:rFonts w:ascii="Times New Roman" w:hAnsi="Times New Roman" w:cs="Times New Roman"/>
          <w:sz w:val="24"/>
          <w:szCs w:val="24"/>
        </w:rPr>
        <w:t xml:space="preserve"> Şemsiye Fon ve Şemsiye Fon’a bağlı fonların finansal tablolarının bağımsız denetiminde Kurul’un bağımsız denetimle ilgili düzenlemelerine uyulur. Finansal tablo hazırlama yükümlülüğünün bulunduğu ilgili hesap döneminin son günü itibarıyla hazırlanan portföy raporları da finansal tablolarla birlikte bağımsız denetimden geçirilir.</w:t>
      </w:r>
      <w:r w:rsidRPr="00443864">
        <w:rPr>
          <w:rFonts w:ascii="Times New Roman" w:hAnsi="Times New Roman" w:cs="Times New Roman"/>
          <w:sz w:val="24"/>
          <w:szCs w:val="24"/>
          <w:vertAlign w:val="superscript"/>
        </w:rPr>
        <w:t xml:space="preserve"> </w:t>
      </w:r>
      <w:r w:rsidRPr="00443864">
        <w:rPr>
          <w:rFonts w:ascii="Times New Roman" w:hAnsi="Times New Roman" w:cs="Times New Roman"/>
          <w:sz w:val="24"/>
          <w:szCs w:val="24"/>
          <w:vertAlign w:val="superscript"/>
        </w:rPr>
        <w:footnoteReference w:id="11"/>
      </w:r>
    </w:p>
    <w:p w14:paraId="224EFB34"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8.4.</w:t>
      </w:r>
      <w:r w:rsidRPr="00443864">
        <w:rPr>
          <w:rFonts w:ascii="Times New Roman" w:hAnsi="Times New Roman" w:cs="Times New Roman"/>
          <w:sz w:val="24"/>
          <w:szCs w:val="24"/>
        </w:rPr>
        <w:t xml:space="preserve">  Şemsiye Fon’a bağlı fonlar tasfiye tarihi itibarıyla özel bağımsız denetime tabidir.</w:t>
      </w:r>
      <w:r w:rsidRPr="00443864">
        <w:rPr>
          <w:rFonts w:ascii="Times New Roman" w:hAnsi="Times New Roman" w:cs="Times New Roman"/>
          <w:sz w:val="24"/>
          <w:szCs w:val="24"/>
          <w:vertAlign w:val="superscript"/>
        </w:rPr>
        <w:footnoteReference w:id="12"/>
      </w:r>
    </w:p>
    <w:p w14:paraId="4B07B323" w14:textId="77777777" w:rsidR="00443864" w:rsidRPr="00443864" w:rsidRDefault="00443864" w:rsidP="00443864">
      <w:pPr>
        <w:jc w:val="both"/>
        <w:rPr>
          <w:rFonts w:ascii="Times New Roman" w:hAnsi="Times New Roman" w:cs="Times New Roman"/>
          <w:sz w:val="24"/>
          <w:szCs w:val="24"/>
        </w:rPr>
      </w:pPr>
      <w:r w:rsidRPr="00443864" w:rsidDel="00D32759">
        <w:rPr>
          <w:rFonts w:ascii="Times New Roman" w:hAnsi="Times New Roman" w:cs="Times New Roman"/>
          <w:sz w:val="24"/>
          <w:szCs w:val="24"/>
        </w:rPr>
        <w:t xml:space="preserve"> </w:t>
      </w:r>
      <w:r w:rsidRPr="00443864">
        <w:rPr>
          <w:rFonts w:ascii="Times New Roman" w:hAnsi="Times New Roman" w:cs="Times New Roman"/>
          <w:b/>
          <w:sz w:val="24"/>
          <w:szCs w:val="24"/>
        </w:rPr>
        <w:t xml:space="preserve">8.5. </w:t>
      </w:r>
      <w:r w:rsidRPr="00443864">
        <w:rPr>
          <w:rFonts w:ascii="Times New Roman" w:hAnsi="Times New Roman" w:cs="Times New Roman"/>
          <w:sz w:val="24"/>
          <w:szCs w:val="24"/>
        </w:rPr>
        <w:t>Şemsiye Fon’a bağlı her bir</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fonda oluşan kar, bu içtüzükte belirtilen esaslara göre tespit edilen katılma payı fiyatlarına yansır. Katılma payı sahipleri, paylarını fon izahnamelerinde yer alan esaslar çerçevesinde fona geri sattıklarında, ellerinde tuttukları süre için fonda oluşan kardan paylarını almış olurlar. Kar payı dağıtımı yapacak Şemsiye Fon’a bağlı</w:t>
      </w:r>
      <w:r w:rsidRPr="00443864" w:rsidDel="00421D1D">
        <w:rPr>
          <w:rFonts w:ascii="Times New Roman" w:hAnsi="Times New Roman" w:cs="Times New Roman"/>
          <w:sz w:val="24"/>
          <w:szCs w:val="24"/>
        </w:rPr>
        <w:t xml:space="preserve"> </w:t>
      </w:r>
      <w:r w:rsidRPr="00443864">
        <w:rPr>
          <w:rFonts w:ascii="Times New Roman" w:hAnsi="Times New Roman" w:cs="Times New Roman"/>
          <w:sz w:val="24"/>
          <w:szCs w:val="24"/>
        </w:rPr>
        <w:t>fonlarda ise kar payı dağıtımı esaslarına ilişkin ayrıntılı bilgilere ilgili fonların izahnamelerinde yer verilir.</w:t>
      </w:r>
      <w:r w:rsidRPr="00443864">
        <w:rPr>
          <w:rFonts w:ascii="Times New Roman" w:hAnsi="Times New Roman" w:cs="Times New Roman"/>
          <w:sz w:val="24"/>
          <w:szCs w:val="24"/>
          <w:vertAlign w:val="superscript"/>
        </w:rPr>
        <w:footnoteReference w:id="13"/>
      </w:r>
    </w:p>
    <w:p w14:paraId="017016DE"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8.6.</w:t>
      </w:r>
      <w:r w:rsidRPr="00443864">
        <w:rPr>
          <w:rFonts w:ascii="Times New Roman" w:hAnsi="Times New Roman" w:cs="Times New Roman"/>
          <w:sz w:val="24"/>
          <w:szCs w:val="24"/>
        </w:rPr>
        <w:t xml:space="preserve"> Şemsiye Fon’a bağlı</w:t>
      </w:r>
      <w:r w:rsidRPr="00443864" w:rsidDel="002A09CB">
        <w:rPr>
          <w:rFonts w:ascii="Times New Roman" w:hAnsi="Times New Roman" w:cs="Times New Roman"/>
          <w:sz w:val="24"/>
          <w:szCs w:val="24"/>
        </w:rPr>
        <w:t xml:space="preserve"> </w:t>
      </w:r>
      <w:r w:rsidRPr="00443864">
        <w:rPr>
          <w:rFonts w:ascii="Times New Roman" w:hAnsi="Times New Roman" w:cs="Times New Roman"/>
          <w:sz w:val="24"/>
          <w:szCs w:val="24"/>
        </w:rPr>
        <w:t>her bir fondan karşılanan, yönetim ücreti dahil tüm giderlerin toplamının üst sınırına ve fon malvarlığından yapılabilecek harcamalara ilişkin bilgilere fon izahnamesinde yer verilir.</w:t>
      </w:r>
    </w:p>
    <w:p w14:paraId="4429EB42"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8.7. </w:t>
      </w:r>
      <w:r w:rsidRPr="00443864">
        <w:rPr>
          <w:rFonts w:ascii="Times New Roman" w:hAnsi="Times New Roman" w:cs="Times New Roman"/>
          <w:sz w:val="24"/>
          <w:szCs w:val="24"/>
        </w:rPr>
        <w:t>Şemsiye Fon’un kuruluş giderleri ile fonların katılma payı ihraç giderleri hariç olmak üzere, Şemsiye Fon için yapılması gereken tüm giderler (bağımsız denetim gideri, vs.) Şemsiye Fona bağlı fonların toplam değerleri dikkate alınarak oransal olarak bu fonların portföylerinden karşılanır.</w:t>
      </w:r>
    </w:p>
    <w:p w14:paraId="17332E0E"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8.8.</w:t>
      </w:r>
      <w:r w:rsidRPr="00443864">
        <w:rPr>
          <w:rFonts w:ascii="Times New Roman" w:hAnsi="Times New Roman" w:cs="Times New Roman"/>
          <w:sz w:val="24"/>
          <w:szCs w:val="24"/>
        </w:rPr>
        <w:t xml:space="preserve"> Şemsiye Fon’a bağlı</w:t>
      </w:r>
      <w:r w:rsidRPr="00443864" w:rsidDel="00421D1D">
        <w:rPr>
          <w:rFonts w:ascii="Times New Roman" w:hAnsi="Times New Roman" w:cs="Times New Roman"/>
          <w:sz w:val="24"/>
          <w:szCs w:val="24"/>
        </w:rPr>
        <w:t xml:space="preserve"> </w:t>
      </w:r>
      <w:r w:rsidRPr="00443864">
        <w:rPr>
          <w:rFonts w:ascii="Times New Roman" w:hAnsi="Times New Roman" w:cs="Times New Roman"/>
          <w:sz w:val="24"/>
          <w:szCs w:val="24"/>
        </w:rPr>
        <w:t>her bir fonda uygulanacak yönetim ücretinin hesaplanmasına ilişkin bilgilere fon izahnamelerinde yer verilir.</w:t>
      </w:r>
    </w:p>
    <w:p w14:paraId="217A7D52"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lastRenderedPageBreak/>
        <w:t xml:space="preserve">8.9. </w:t>
      </w:r>
      <w:r w:rsidRPr="00443864">
        <w:rPr>
          <w:rFonts w:ascii="Times New Roman" w:hAnsi="Times New Roman" w:cs="Times New Roman"/>
          <w:sz w:val="24"/>
          <w:szCs w:val="24"/>
        </w:rPr>
        <w:t xml:space="preserve">Şemsiye Fon’a bağlı fonlarda Kurul düzenlemeleri çerçevesinde performansa dayalı ücretlendirme yapılabilir. Performansa dayalı ücretlendirme uygulamasında bulunan Şemsiye Fon’a bağlı fonların izahnamelerinde performansa dayalı ücretlendirmeye ilişkin esaslara ve hesaplama örneklerine yer verilir. </w:t>
      </w:r>
    </w:p>
    <w:p w14:paraId="73266909"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9- Belge ve Kayıt Düzeni</w:t>
      </w:r>
    </w:p>
    <w:p w14:paraId="23986B98"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9.1.</w:t>
      </w:r>
      <w:r w:rsidRPr="00443864">
        <w:rPr>
          <w:rFonts w:ascii="Times New Roman" w:hAnsi="Times New Roman" w:cs="Times New Roman"/>
          <w:sz w:val="24"/>
          <w:szCs w:val="24"/>
        </w:rPr>
        <w:t xml:space="preserve">  İhraç edilen katılma paylarının kaydına mahsus olmak üzere Şemsiye Fon’a bağlı her bir fon için Türk Ticaret Kanunu'nun 64. maddesine göre tasdik ettirilen "Katılma Payları Defteri" tutulur. Katılma payları defterinde katılma paylarının alım satımları günlük olarak izlenir. Türk Ticaret Kanunu, Vergi Usul Kanunu ve Kanun hükümleri çerçevesinde Şemsiye Fon’a bağlı her bir fon için Yevmiye Defteri (günlük defter), Defter-i Kebir (büyük defter)fon hizmet birimi tarafından tutulur. Hazine ve Maliye Bakanlığı’nca istenebilecek ilgili mevzuattan kaynaklanan zorunlu defterler de ilgili fon bazında ayrıca tutulur.</w:t>
      </w:r>
    </w:p>
    <w:p w14:paraId="29645A4C"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9.2.</w:t>
      </w:r>
      <w:r w:rsidRPr="00443864">
        <w:rPr>
          <w:rFonts w:ascii="Times New Roman" w:hAnsi="Times New Roman" w:cs="Times New Roman"/>
          <w:sz w:val="24"/>
          <w:szCs w:val="24"/>
        </w:rPr>
        <w:t xml:space="preserve"> Kurucu Şemsiye Fon’a bağlı her bir fon için</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kaydi değer olarak tutulan fon katılma paylarını müşteri bazında izleyebilecek bir sistemi kurmak ve bu bilgileri 5 yıl boyunca saklamak zorundadır.</w:t>
      </w:r>
    </w:p>
    <w:p w14:paraId="09E8D24E"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9.3.</w:t>
      </w:r>
      <w:r w:rsidRPr="00443864">
        <w:rPr>
          <w:rFonts w:ascii="Times New Roman" w:hAnsi="Times New Roman" w:cs="Times New Roman"/>
          <w:sz w:val="24"/>
          <w:szCs w:val="24"/>
        </w:rPr>
        <w:t xml:space="preserve"> Şemsiye Fon’a bağlı</w:t>
      </w:r>
      <w:r w:rsidRPr="00443864" w:rsidDel="003B466E">
        <w:rPr>
          <w:rFonts w:ascii="Times New Roman" w:hAnsi="Times New Roman" w:cs="Times New Roman"/>
          <w:sz w:val="24"/>
          <w:szCs w:val="24"/>
        </w:rPr>
        <w:t xml:space="preserve"> </w:t>
      </w:r>
      <w:r w:rsidRPr="00443864">
        <w:rPr>
          <w:rFonts w:ascii="Times New Roman" w:hAnsi="Times New Roman" w:cs="Times New Roman"/>
          <w:sz w:val="24"/>
          <w:szCs w:val="24"/>
        </w:rPr>
        <w:t>fonların muhasebe, denetim, hesap ve işlemleri Kanun, Türk Ticaret Kanunu, Vergi Usul Kanunu ile Borçlar Kanunu’nun ilgili hükümlerine uygun olarak, Kurucunun, Yöneticinin ve Portföy Saklayıcısının hesapları dışında özel hesaplarda izlenir. Fon muhasebesine ilişkin olarak, Finansal Raporlama Tebliği’nde belirtilen esaslar ile Kurulca belirlenen diğer esaslara uyulur.</w:t>
      </w:r>
    </w:p>
    <w:p w14:paraId="43D8B2C2"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10-Şemsiye Fon’la İlgili Bilgilerin Açıklanma Şekli</w:t>
      </w:r>
    </w:p>
    <w:p w14:paraId="6B4E8DB2" w14:textId="444299DD"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 xml:space="preserve">10.1. </w:t>
      </w:r>
      <w:r w:rsidRPr="00443864">
        <w:rPr>
          <w:rFonts w:ascii="Times New Roman" w:hAnsi="Times New Roman" w:cs="Times New Roman"/>
          <w:sz w:val="24"/>
          <w:szCs w:val="24"/>
        </w:rPr>
        <w:t xml:space="preserve">Şemsiye Fon’un yıllık finansal tabloları, ilgili hesap döneminin bitimini takip eden </w:t>
      </w:r>
      <w:r w:rsidR="0070263A">
        <w:rPr>
          <w:rFonts w:ascii="Times New Roman" w:hAnsi="Times New Roman" w:cs="Times New Roman"/>
          <w:sz w:val="24"/>
          <w:szCs w:val="24"/>
        </w:rPr>
        <w:t>90</w:t>
      </w:r>
      <w:r w:rsidR="0070263A" w:rsidRPr="00443864">
        <w:rPr>
          <w:rFonts w:ascii="Times New Roman" w:hAnsi="Times New Roman" w:cs="Times New Roman"/>
          <w:sz w:val="24"/>
          <w:szCs w:val="24"/>
        </w:rPr>
        <w:t xml:space="preserve"> </w:t>
      </w:r>
      <w:r w:rsidRPr="00443864">
        <w:rPr>
          <w:rFonts w:ascii="Times New Roman" w:hAnsi="Times New Roman" w:cs="Times New Roman"/>
          <w:sz w:val="24"/>
          <w:szCs w:val="24"/>
        </w:rPr>
        <w:t>gün içinde KAP’ta kamuya açıklanır.</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Özel bağımsız denetimden geçen finansal tablolar ise</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 xml:space="preserve">ilgili dönemin sonunu takip eden </w:t>
      </w:r>
      <w:r w:rsidR="0070263A">
        <w:rPr>
          <w:rFonts w:ascii="Times New Roman" w:hAnsi="Times New Roman" w:cs="Times New Roman"/>
          <w:sz w:val="24"/>
          <w:szCs w:val="24"/>
        </w:rPr>
        <w:t>90</w:t>
      </w:r>
      <w:r w:rsidR="0070263A" w:rsidRPr="00443864">
        <w:rPr>
          <w:rFonts w:ascii="Times New Roman" w:hAnsi="Times New Roman" w:cs="Times New Roman"/>
          <w:sz w:val="24"/>
          <w:szCs w:val="24"/>
        </w:rPr>
        <w:t xml:space="preserve"> </w:t>
      </w:r>
      <w:r w:rsidRPr="00443864">
        <w:rPr>
          <w:rFonts w:ascii="Times New Roman" w:hAnsi="Times New Roman" w:cs="Times New Roman"/>
          <w:sz w:val="24"/>
          <w:szCs w:val="24"/>
        </w:rPr>
        <w:t>gün içerisinde KAP’ta açıklanır.</w:t>
      </w:r>
    </w:p>
    <w:p w14:paraId="3F9EE1F8" w14:textId="1BA9C470"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10.2.</w:t>
      </w:r>
      <w:r w:rsidRPr="00443864">
        <w:rPr>
          <w:rFonts w:ascii="Times New Roman" w:hAnsi="Times New Roman" w:cs="Times New Roman"/>
          <w:sz w:val="24"/>
          <w:szCs w:val="24"/>
        </w:rPr>
        <w:t xml:space="preserve">  Şemsiye Fon’a bağlı fonlara ilişkin aylık olarak hazırlanan portföy dağılım raporları, ilgili ayı takip eden altı iş günü içinde KAP’ta açıklanır.</w:t>
      </w:r>
      <w:r w:rsidR="000206D2">
        <w:rPr>
          <w:rFonts w:ascii="Times New Roman" w:hAnsi="Times New Roman" w:cs="Times New Roman"/>
          <w:sz w:val="24"/>
          <w:szCs w:val="24"/>
        </w:rPr>
        <w:t xml:space="preserve"> </w:t>
      </w:r>
      <w:r w:rsidRPr="00443864">
        <w:rPr>
          <w:rFonts w:ascii="Times New Roman" w:hAnsi="Times New Roman" w:cs="Times New Roman"/>
          <w:sz w:val="24"/>
          <w:szCs w:val="24"/>
          <w:vertAlign w:val="superscript"/>
        </w:rPr>
        <w:footnoteReference w:id="14"/>
      </w:r>
    </w:p>
    <w:p w14:paraId="4D4FCE1F"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10.3.</w:t>
      </w:r>
      <w:r w:rsidRPr="00443864">
        <w:rPr>
          <w:rFonts w:ascii="Times New Roman" w:hAnsi="Times New Roman" w:cs="Times New Roman"/>
          <w:sz w:val="24"/>
          <w:szCs w:val="24"/>
        </w:rPr>
        <w:t xml:space="preserve"> Portföy raporları dışındaki finansal raporlar, KAP’ta açıklandıktan sonra, Kurucu’nun internet sitesinde, yatırımcılar tarafından kolaylıkla ulaşılabilecek şekilde yayımlanır. Bu bilgiler, ilgili internet sitesinde en az beş yıl süreyle kamuya açık tutulur. Söz konusu finansal raporlar aynı zamanda Kurucunun merkezinde ve katılma payı satışı yapılan ortamlarda yatırımcıların incelemesi için hazır bulundurulur. </w:t>
      </w:r>
    </w:p>
    <w:p w14:paraId="09A34BBD"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10.4. </w:t>
      </w:r>
      <w:r w:rsidRPr="00443864">
        <w:rPr>
          <w:rFonts w:ascii="Times New Roman" w:hAnsi="Times New Roman" w:cs="Times New Roman"/>
          <w:sz w:val="24"/>
          <w:szCs w:val="24"/>
        </w:rPr>
        <w:t xml:space="preserve">İşbu içtüzük ve içtüzükteki değişiklikler ticaret siciline tescil ve TTSG ile KAP’ta ilan edilir. Değişiklikler yatırımcıların yatırım yapma kararını etkileyebilecek ve önceden bilgi sahibi olunmasını gerektirecek nitelikte ise, değişikliğe ilişkin izin yazısının Kurucu tarafından tebellüğ edildiği tarihi izleyen iş günü konuya ilişkin bir duyuru metni ayrıca KAP’ta ilan edilir ve yeni hususların yürürlüğe giriş tarihi 10 iş gününden az olmamak üzere duyuru metninde belirtilir. </w:t>
      </w:r>
    </w:p>
    <w:p w14:paraId="589D4848"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lastRenderedPageBreak/>
        <w:t xml:space="preserve">10.5. </w:t>
      </w:r>
      <w:r w:rsidRPr="00443864">
        <w:rPr>
          <w:rFonts w:ascii="Times New Roman" w:hAnsi="Times New Roman" w:cs="Times New Roman"/>
          <w:sz w:val="24"/>
          <w:szCs w:val="24"/>
        </w:rPr>
        <w:t>Kurul gerektiğinde, Tebliğ’de yer alan sürelerle bağlı olmaksızın Şemsiye Fon ve Şemsiye Fona bağlı fonlar hakkında bilgi verilmesini isteyebilir. Savaş, doğal afetler, ekonomik kriz, iletişim sistemlerinin çökmesi, fonların portföylerindeki varlıkların ilgili olduğu pazarın, piyasanın, platformun kapanması, bilgisayar sistemlerinde meydana gelebilecek arızalar, şirketin mali durumunu etkileyebilecek önemli bir bilginin ortaya çıkması gibi olağanüstü durumların meydana gelmesi halinde, değerleme esaslarının tespiti hususunda kurucunun yönetim kurulu karar alabilir. Bu durumda değerleme esaslarının gerekçeli olarak karar defterine yazılarak, Kurul’a ve Portföy Saklayıcısı’na bildirilmesi zorunludur. Ayrıca söz konusu olaylarla ilgili olarak KAP’ta açıklama yapılır.</w:t>
      </w:r>
    </w:p>
    <w:p w14:paraId="24EADBF5"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10.6</w:t>
      </w:r>
      <w:r w:rsidRPr="00443864">
        <w:rPr>
          <w:rFonts w:ascii="Times New Roman" w:hAnsi="Times New Roman" w:cs="Times New Roman"/>
          <w:sz w:val="24"/>
          <w:szCs w:val="24"/>
        </w:rPr>
        <w:t>. Şemsiye Fon’a bağlı fonların reklam ve ilanlarına ilişkin olarak Kurul’un ilgili düzenlemelerine uyulur.</w:t>
      </w:r>
      <w:r w:rsidRPr="00443864">
        <w:rPr>
          <w:rFonts w:ascii="Times New Roman" w:hAnsi="Times New Roman" w:cs="Times New Roman"/>
          <w:sz w:val="24"/>
          <w:szCs w:val="24"/>
          <w:vertAlign w:val="superscript"/>
        </w:rPr>
        <w:footnoteReference w:id="15"/>
      </w:r>
    </w:p>
    <w:p w14:paraId="19A115CD"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10.7.</w:t>
      </w:r>
      <w:r w:rsidRPr="00443864">
        <w:rPr>
          <w:rFonts w:ascii="Times New Roman" w:hAnsi="Times New Roman" w:cs="Times New Roman"/>
          <w:sz w:val="24"/>
          <w:szCs w:val="24"/>
        </w:rPr>
        <w:t xml:space="preserve"> KAP’ta ilan edilmesi gereken bilgi ve belgelerin eksiksiz olarak yayımlanması, doğruluğu ve güncel tutulması Kurucu’nun sorumluluğundadır.</w:t>
      </w:r>
    </w:p>
    <w:p w14:paraId="53CE2AC5"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MADDE 11-</w:t>
      </w:r>
      <w:r w:rsidRPr="00443864">
        <w:rPr>
          <w:rFonts w:ascii="Times New Roman" w:hAnsi="Times New Roman" w:cs="Times New Roman"/>
          <w:b/>
          <w:sz w:val="24"/>
          <w:szCs w:val="24"/>
        </w:rPr>
        <w:tab/>
        <w:t>Şemsiye Fon’a Bağlı Fonların Dağıtımı, Fonlara Katılma ve Bu Fonlardan Ayrılma Şartları ile Fonların Sona Ermesi ve Tasfiyesi</w:t>
      </w:r>
    </w:p>
    <w:p w14:paraId="274BA47B"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11.1. </w:t>
      </w:r>
      <w:r w:rsidRPr="00443864">
        <w:rPr>
          <w:rFonts w:ascii="Times New Roman" w:hAnsi="Times New Roman" w:cs="Times New Roman"/>
          <w:sz w:val="24"/>
          <w:szCs w:val="24"/>
        </w:rPr>
        <w:t>Şemsiye Fon’a bağlı fonların</w:t>
      </w:r>
      <w:r w:rsidRPr="00443864">
        <w:rPr>
          <w:rFonts w:ascii="Times New Roman" w:hAnsi="Times New Roman" w:cs="Times New Roman"/>
          <w:b/>
          <w:sz w:val="24"/>
          <w:szCs w:val="24"/>
        </w:rPr>
        <w:t xml:space="preserve"> </w:t>
      </w:r>
      <w:r w:rsidRPr="00443864">
        <w:rPr>
          <w:rFonts w:ascii="Times New Roman" w:hAnsi="Times New Roman" w:cs="Times New Roman"/>
          <w:sz w:val="24"/>
          <w:szCs w:val="24"/>
        </w:rPr>
        <w:t>katılma paylarının alım satımlarına ve dağıtımına ilişkin esaslara fon izahnamelerinde yer verilir.</w:t>
      </w:r>
      <w:r w:rsidRPr="00443864" w:rsidDel="007562A4">
        <w:rPr>
          <w:rFonts w:ascii="Times New Roman" w:hAnsi="Times New Roman" w:cs="Times New Roman"/>
          <w:sz w:val="24"/>
          <w:szCs w:val="24"/>
        </w:rPr>
        <w:t xml:space="preserve"> </w:t>
      </w:r>
    </w:p>
    <w:p w14:paraId="1BF1BF2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11.2.</w:t>
      </w:r>
      <w:r w:rsidRPr="00443864">
        <w:rPr>
          <w:rFonts w:ascii="Times New Roman" w:hAnsi="Times New Roman" w:cs="Times New Roman"/>
          <w:sz w:val="24"/>
          <w:szCs w:val="24"/>
        </w:rPr>
        <w:t xml:space="preserve"> Kurucu, Yönetici ve varsa Dağıtım Kuruluşu tarafından katılma paylarının Şemsiye Fona bağlı</w:t>
      </w:r>
      <w:r w:rsidRPr="00443864" w:rsidDel="006850BC">
        <w:rPr>
          <w:rFonts w:ascii="Times New Roman" w:hAnsi="Times New Roman" w:cs="Times New Roman"/>
          <w:sz w:val="24"/>
          <w:szCs w:val="24"/>
        </w:rPr>
        <w:t xml:space="preserve"> </w:t>
      </w:r>
      <w:r w:rsidRPr="00443864">
        <w:rPr>
          <w:rFonts w:ascii="Times New Roman" w:hAnsi="Times New Roman" w:cs="Times New Roman"/>
          <w:sz w:val="24"/>
          <w:szCs w:val="24"/>
        </w:rPr>
        <w:t>her bir fon adına alım satımı esastır.</w:t>
      </w:r>
    </w:p>
    <w:p w14:paraId="243F050D"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11.3. </w:t>
      </w:r>
      <w:r w:rsidRPr="00443864">
        <w:rPr>
          <w:rFonts w:ascii="Times New Roman" w:hAnsi="Times New Roman" w:cs="Times New Roman"/>
          <w:sz w:val="24"/>
          <w:szCs w:val="24"/>
        </w:rPr>
        <w:t xml:space="preserve">Şemsiye Fon’un sona ermesine ve tasfiyesine ilişkin olarak Tebliğ'de belirtilen esaslara uyulur. </w:t>
      </w:r>
    </w:p>
    <w:p w14:paraId="20B17AF2"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 xml:space="preserve">11.4. </w:t>
      </w:r>
      <w:r w:rsidRPr="00443864">
        <w:rPr>
          <w:rFonts w:ascii="Times New Roman" w:hAnsi="Times New Roman" w:cs="Times New Roman"/>
          <w:sz w:val="24"/>
          <w:szCs w:val="24"/>
        </w:rPr>
        <w:t xml:space="preserve">Şemsiye Fon tasfiye sürecinin tamamlanması üzerine, işbu içtüzük Kurucu tarafından ticaret sicilinden terkin ettirilir ve keyfiyet Kurul’a bildirilir. </w:t>
      </w:r>
    </w:p>
    <w:p w14:paraId="53C66ABB"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11.5.</w:t>
      </w:r>
      <w:r w:rsidRPr="00443864">
        <w:rPr>
          <w:rFonts w:ascii="Times New Roman" w:hAnsi="Times New Roman" w:cs="Times New Roman"/>
          <w:sz w:val="24"/>
          <w:szCs w:val="24"/>
        </w:rPr>
        <w:t xml:space="preserve">  İşbu içtüzük kapsamında payları ihraç edilen Şemsiye Fon’a bağlı</w:t>
      </w:r>
      <w:r w:rsidRPr="00443864" w:rsidDel="00746DFA">
        <w:rPr>
          <w:rFonts w:ascii="Times New Roman" w:hAnsi="Times New Roman" w:cs="Times New Roman"/>
          <w:sz w:val="24"/>
          <w:szCs w:val="24"/>
        </w:rPr>
        <w:t xml:space="preserve"> </w:t>
      </w:r>
      <w:r w:rsidRPr="00443864">
        <w:rPr>
          <w:rFonts w:ascii="Times New Roman" w:hAnsi="Times New Roman" w:cs="Times New Roman"/>
          <w:sz w:val="24"/>
          <w:szCs w:val="24"/>
        </w:rPr>
        <w:t>fonlar Şemsiye Fon tasfiye edilmeksizin de tasfiyeye tabi tutulabilir.</w:t>
      </w:r>
    </w:p>
    <w:p w14:paraId="7DF97972"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11.6.</w:t>
      </w:r>
      <w:r w:rsidRPr="00443864">
        <w:rPr>
          <w:rFonts w:ascii="Times New Roman" w:hAnsi="Times New Roman" w:cs="Times New Roman"/>
          <w:sz w:val="24"/>
          <w:szCs w:val="24"/>
        </w:rPr>
        <w:t xml:space="preserve"> </w:t>
      </w:r>
      <w:r w:rsidRPr="00A7095D">
        <w:rPr>
          <w:rFonts w:ascii="Times New Roman" w:hAnsi="Times New Roman" w:cs="Times New Roman"/>
          <w:sz w:val="24"/>
          <w:szCs w:val="24"/>
        </w:rPr>
        <w:t>Şemsiye Fon’a bağlı fonların tasfiyesine ilişkin esaslara fon izahnamelerinde yer verilmektedir.</w:t>
      </w:r>
    </w:p>
    <w:p w14:paraId="66B511BC"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11.7.</w:t>
      </w:r>
      <w:r w:rsidRPr="00443864">
        <w:rPr>
          <w:rFonts w:ascii="Times New Roman" w:hAnsi="Times New Roman" w:cs="Times New Roman"/>
          <w:sz w:val="24"/>
          <w:szCs w:val="24"/>
        </w:rPr>
        <w:t xml:space="preserve"> Kurucunun iflası veya tasfiyesi halinde Kurul, Şemsiye Fonu ve Şemsiye Fon’a bağlı fonları uygun göreceği başka bir portföy yönetim şirketine tasfiye amacıyla devreder. Portföy Saklayıcısının mali durumunun taahhütlerini karşılayamayacak kadar zayıflaması, iflası veya tasfiyesi halinde de, Kurucu fon varlığını Kurulca uygun görülecek başka bir portföy saklayıcısına devreder.</w:t>
      </w:r>
    </w:p>
    <w:p w14:paraId="4B7634EF"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b/>
          <w:sz w:val="24"/>
          <w:szCs w:val="24"/>
        </w:rPr>
        <w:t>11.8.</w:t>
      </w:r>
      <w:r w:rsidRPr="00443864">
        <w:rPr>
          <w:rFonts w:ascii="Times New Roman" w:hAnsi="Times New Roman" w:cs="Times New Roman"/>
          <w:sz w:val="24"/>
          <w:szCs w:val="24"/>
        </w:rPr>
        <w:t xml:space="preserve"> ................ </w:t>
      </w:r>
      <w:r w:rsidRPr="00443864">
        <w:rPr>
          <w:rFonts w:ascii="Times New Roman" w:hAnsi="Times New Roman" w:cs="Times New Roman"/>
          <w:sz w:val="24"/>
          <w:szCs w:val="24"/>
          <w:vertAlign w:val="superscript"/>
        </w:rPr>
        <w:footnoteReference w:id="16"/>
      </w:r>
    </w:p>
    <w:p w14:paraId="10D99449" w14:textId="77777777" w:rsidR="00443864" w:rsidRPr="00443864" w:rsidRDefault="00443864" w:rsidP="00443864">
      <w:pPr>
        <w:jc w:val="center"/>
        <w:rPr>
          <w:rFonts w:ascii="Times New Roman" w:hAnsi="Times New Roman" w:cs="Times New Roman"/>
          <w:b/>
          <w:sz w:val="24"/>
          <w:szCs w:val="24"/>
        </w:rPr>
      </w:pPr>
      <w:r w:rsidRPr="00443864">
        <w:rPr>
          <w:rFonts w:ascii="Times New Roman" w:hAnsi="Times New Roman" w:cs="Times New Roman"/>
          <w:b/>
          <w:sz w:val="24"/>
          <w:szCs w:val="24"/>
        </w:rPr>
        <w:lastRenderedPageBreak/>
        <w:t>KURUCU</w:t>
      </w:r>
      <w:r w:rsidRPr="00443864">
        <w:rPr>
          <w:rFonts w:ascii="Times New Roman" w:hAnsi="Times New Roman" w:cs="Times New Roman"/>
          <w:sz w:val="24"/>
          <w:szCs w:val="24"/>
          <w:vertAlign w:val="superscript"/>
        </w:rPr>
        <w:footnoteReference w:id="17"/>
      </w:r>
    </w:p>
    <w:p w14:paraId="061A77BC" w14:textId="77777777" w:rsidR="00443864" w:rsidRPr="00443864" w:rsidRDefault="00443864" w:rsidP="00443864">
      <w:pPr>
        <w:jc w:val="both"/>
        <w:rPr>
          <w:rFonts w:ascii="Times New Roman" w:hAnsi="Times New Roman" w:cs="Times New Roman"/>
          <w:b/>
          <w:sz w:val="24"/>
          <w:szCs w:val="24"/>
        </w:rPr>
      </w:pPr>
    </w:p>
    <w:p w14:paraId="40701827" w14:textId="77777777" w:rsidR="00443864" w:rsidRPr="00443864" w:rsidRDefault="00443864" w:rsidP="00443864">
      <w:pPr>
        <w:jc w:val="both"/>
        <w:rPr>
          <w:rFonts w:ascii="Times New Roman" w:hAnsi="Times New Roman" w:cs="Times New Roman"/>
          <w:b/>
          <w:sz w:val="24"/>
          <w:szCs w:val="24"/>
        </w:rPr>
      </w:pPr>
    </w:p>
    <w:tbl>
      <w:tblPr>
        <w:tblpPr w:leftFromText="141" w:rightFromText="141" w:vertAnchor="text" w:horzAnchor="page" w:tblpX="2376" w:tblpY="121"/>
        <w:tblW w:w="0" w:type="auto"/>
        <w:tblLook w:val="01E0" w:firstRow="1" w:lastRow="1" w:firstColumn="1" w:lastColumn="1" w:noHBand="0" w:noVBand="0"/>
      </w:tblPr>
      <w:tblGrid>
        <w:gridCol w:w="4702"/>
        <w:gridCol w:w="4702"/>
      </w:tblGrid>
      <w:tr w:rsidR="00443864" w:rsidRPr="00443864" w14:paraId="6B69E074" w14:textId="77777777" w:rsidTr="000D6FBC">
        <w:tc>
          <w:tcPr>
            <w:tcW w:w="4771" w:type="dxa"/>
          </w:tcPr>
          <w:p w14:paraId="275B5421"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Adı Soyadı</w:t>
            </w:r>
          </w:p>
          <w:p w14:paraId="75B74629" w14:textId="77777777" w:rsidR="00443864" w:rsidRPr="00443864" w:rsidRDefault="00443864" w:rsidP="00443864">
            <w:pPr>
              <w:jc w:val="both"/>
              <w:rPr>
                <w:rFonts w:ascii="Times New Roman" w:hAnsi="Times New Roman" w:cs="Times New Roman"/>
                <w:b/>
                <w:sz w:val="24"/>
                <w:szCs w:val="24"/>
              </w:rPr>
            </w:pPr>
          </w:p>
        </w:tc>
        <w:tc>
          <w:tcPr>
            <w:tcW w:w="4770" w:type="dxa"/>
          </w:tcPr>
          <w:p w14:paraId="130B7A60"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Adı Soyadı</w:t>
            </w:r>
          </w:p>
          <w:p w14:paraId="3A626282" w14:textId="77777777" w:rsidR="00443864" w:rsidRPr="00443864" w:rsidRDefault="00443864" w:rsidP="00443864">
            <w:pPr>
              <w:jc w:val="both"/>
              <w:rPr>
                <w:rFonts w:ascii="Times New Roman" w:hAnsi="Times New Roman" w:cs="Times New Roman"/>
                <w:b/>
                <w:sz w:val="24"/>
                <w:szCs w:val="24"/>
              </w:rPr>
            </w:pPr>
          </w:p>
        </w:tc>
      </w:tr>
      <w:tr w:rsidR="00443864" w:rsidRPr="00443864" w14:paraId="05E8F744" w14:textId="77777777" w:rsidTr="000D6FBC">
        <w:tc>
          <w:tcPr>
            <w:tcW w:w="4771" w:type="dxa"/>
          </w:tcPr>
          <w:p w14:paraId="57D4AA11" w14:textId="77777777" w:rsidR="00443864" w:rsidRPr="00443864" w:rsidRDefault="00443864" w:rsidP="00443864">
            <w:pPr>
              <w:jc w:val="both"/>
              <w:rPr>
                <w:rFonts w:ascii="Times New Roman" w:hAnsi="Times New Roman" w:cs="Times New Roman"/>
                <w:b/>
                <w:sz w:val="24"/>
                <w:szCs w:val="24"/>
              </w:rPr>
            </w:pPr>
          </w:p>
        </w:tc>
        <w:tc>
          <w:tcPr>
            <w:tcW w:w="4770" w:type="dxa"/>
          </w:tcPr>
          <w:p w14:paraId="148D259F" w14:textId="77777777" w:rsidR="00443864" w:rsidRPr="00443864" w:rsidRDefault="00443864" w:rsidP="00443864">
            <w:pPr>
              <w:jc w:val="both"/>
              <w:rPr>
                <w:rFonts w:ascii="Times New Roman" w:hAnsi="Times New Roman" w:cs="Times New Roman"/>
                <w:b/>
                <w:sz w:val="24"/>
                <w:szCs w:val="24"/>
              </w:rPr>
            </w:pPr>
          </w:p>
        </w:tc>
      </w:tr>
      <w:tr w:rsidR="00443864" w:rsidRPr="00443864" w14:paraId="4110AA28" w14:textId="77777777" w:rsidTr="000D6FBC">
        <w:tc>
          <w:tcPr>
            <w:tcW w:w="4771" w:type="dxa"/>
            <w:hideMark/>
          </w:tcPr>
          <w:p w14:paraId="5562AF83"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Unvanı</w:t>
            </w:r>
          </w:p>
        </w:tc>
        <w:tc>
          <w:tcPr>
            <w:tcW w:w="4770" w:type="dxa"/>
            <w:hideMark/>
          </w:tcPr>
          <w:p w14:paraId="45F41D31"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Unvanı</w:t>
            </w:r>
          </w:p>
        </w:tc>
      </w:tr>
      <w:tr w:rsidR="00443864" w:rsidRPr="00443864" w14:paraId="5CE81431" w14:textId="77777777" w:rsidTr="000D6FBC">
        <w:tc>
          <w:tcPr>
            <w:tcW w:w="4771" w:type="dxa"/>
          </w:tcPr>
          <w:p w14:paraId="375C93B4" w14:textId="77777777" w:rsidR="00443864" w:rsidRPr="00443864" w:rsidRDefault="00443864" w:rsidP="00443864">
            <w:pPr>
              <w:jc w:val="both"/>
              <w:rPr>
                <w:rFonts w:ascii="Times New Roman" w:hAnsi="Times New Roman" w:cs="Times New Roman"/>
                <w:b/>
                <w:sz w:val="24"/>
                <w:szCs w:val="24"/>
              </w:rPr>
            </w:pPr>
          </w:p>
        </w:tc>
        <w:tc>
          <w:tcPr>
            <w:tcW w:w="4770" w:type="dxa"/>
          </w:tcPr>
          <w:p w14:paraId="759B2BB1" w14:textId="77777777" w:rsidR="00443864" w:rsidRPr="00443864" w:rsidRDefault="00443864" w:rsidP="00443864">
            <w:pPr>
              <w:jc w:val="both"/>
              <w:rPr>
                <w:rFonts w:ascii="Times New Roman" w:hAnsi="Times New Roman" w:cs="Times New Roman"/>
                <w:b/>
                <w:sz w:val="24"/>
                <w:szCs w:val="24"/>
              </w:rPr>
            </w:pPr>
          </w:p>
        </w:tc>
      </w:tr>
    </w:tbl>
    <w:p w14:paraId="4E5B9569" w14:textId="77777777" w:rsidR="00443864" w:rsidRPr="00443864" w:rsidRDefault="00443864" w:rsidP="00443864">
      <w:pPr>
        <w:jc w:val="both"/>
        <w:rPr>
          <w:rFonts w:ascii="Times New Roman" w:hAnsi="Times New Roman" w:cs="Times New Roman"/>
          <w:sz w:val="24"/>
          <w:szCs w:val="24"/>
        </w:rPr>
      </w:pPr>
    </w:p>
    <w:p w14:paraId="2A7FAF6B" w14:textId="77777777" w:rsidR="00443864" w:rsidRPr="00443864" w:rsidRDefault="00443864" w:rsidP="00443864">
      <w:pPr>
        <w:jc w:val="both"/>
        <w:rPr>
          <w:rFonts w:ascii="Times New Roman" w:hAnsi="Times New Roman" w:cs="Times New Roman"/>
          <w:sz w:val="24"/>
          <w:szCs w:val="24"/>
        </w:rPr>
      </w:pPr>
    </w:p>
    <w:p w14:paraId="7F796047" w14:textId="77777777" w:rsidR="00443864" w:rsidRPr="00443864" w:rsidRDefault="00443864" w:rsidP="00443864">
      <w:pPr>
        <w:jc w:val="both"/>
        <w:rPr>
          <w:rFonts w:ascii="Times New Roman" w:hAnsi="Times New Roman" w:cs="Times New Roman"/>
          <w:sz w:val="24"/>
          <w:szCs w:val="24"/>
        </w:rPr>
      </w:pPr>
      <w:r w:rsidRPr="00443864">
        <w:rPr>
          <w:rFonts w:ascii="Times New Roman" w:hAnsi="Times New Roman" w:cs="Times New Roman"/>
          <w:sz w:val="24"/>
          <w:szCs w:val="24"/>
          <w:vertAlign w:val="superscript"/>
        </w:rPr>
        <w:t xml:space="preserve"> </w:t>
      </w:r>
    </w:p>
    <w:p w14:paraId="6E6F7DC6" w14:textId="77777777" w:rsidR="00443864" w:rsidRPr="00443864" w:rsidRDefault="00443864" w:rsidP="00443864">
      <w:pPr>
        <w:jc w:val="both"/>
        <w:rPr>
          <w:rFonts w:ascii="Times New Roman" w:hAnsi="Times New Roman" w:cs="Times New Roman"/>
          <w:b/>
          <w:sz w:val="24"/>
          <w:szCs w:val="24"/>
        </w:rPr>
      </w:pPr>
    </w:p>
    <w:p w14:paraId="46390A0B" w14:textId="77777777" w:rsidR="00443864" w:rsidRPr="00443864" w:rsidRDefault="00443864" w:rsidP="00443864">
      <w:pPr>
        <w:jc w:val="both"/>
        <w:rPr>
          <w:rFonts w:ascii="Times New Roman" w:hAnsi="Times New Roman" w:cs="Times New Roman"/>
          <w:b/>
          <w:sz w:val="24"/>
          <w:szCs w:val="24"/>
        </w:rPr>
      </w:pPr>
    </w:p>
    <w:p w14:paraId="15431E3E" w14:textId="77777777" w:rsidR="00443864" w:rsidRPr="00443864" w:rsidRDefault="00443864" w:rsidP="00443864">
      <w:pPr>
        <w:ind w:left="-142"/>
        <w:jc w:val="both"/>
        <w:rPr>
          <w:rFonts w:ascii="Times New Roman" w:hAnsi="Times New Roman" w:cs="Times New Roman"/>
          <w:b/>
          <w:sz w:val="24"/>
          <w:szCs w:val="24"/>
        </w:rPr>
      </w:pPr>
      <w:r w:rsidRPr="00443864">
        <w:rPr>
          <w:rFonts w:ascii="Times New Roman" w:hAnsi="Times New Roman" w:cs="Times New Roman"/>
          <w:b/>
          <w:sz w:val="24"/>
          <w:szCs w:val="24"/>
        </w:rPr>
        <w:t>Bu içtüzükte hüküm bulunmayan hallerde ve bu içtüzük hükümleri ile Sermaye Piyasası Kurulu’nun düzenlemeleri arasında bir uyumsuzluk ortaya çıkması halinde Sermaye Piyasası Kurulu düzenlemelerine uyulur. Sermaye Piyasası Kurulu içtüzük hükümlerinin değiştirilmesini her zaman talep edebilir ve içtüzük standartlarını değiştirebilir.</w:t>
      </w:r>
    </w:p>
    <w:p w14:paraId="4AEBE69F" w14:textId="77777777" w:rsidR="00443864" w:rsidRPr="00443864" w:rsidRDefault="00443864" w:rsidP="00443864">
      <w:pPr>
        <w:jc w:val="both"/>
        <w:rPr>
          <w:rFonts w:ascii="Times New Roman" w:hAnsi="Times New Roman" w:cs="Times New Roman"/>
          <w:sz w:val="24"/>
          <w:szCs w:val="24"/>
        </w:rPr>
      </w:pPr>
    </w:p>
    <w:p w14:paraId="56FB4125" w14:textId="77777777" w:rsidR="00443864" w:rsidRPr="00443864" w:rsidRDefault="00443864" w:rsidP="00443864">
      <w:pPr>
        <w:jc w:val="both"/>
        <w:rPr>
          <w:rFonts w:ascii="Times New Roman" w:hAnsi="Times New Roman" w:cs="Times New Roman"/>
          <w:b/>
          <w:sz w:val="24"/>
          <w:szCs w:val="24"/>
        </w:rPr>
      </w:pPr>
      <w:r w:rsidRPr="00443864">
        <w:rPr>
          <w:rFonts w:ascii="Times New Roman" w:hAnsi="Times New Roman" w:cs="Times New Roman"/>
          <w:b/>
          <w:sz w:val="24"/>
          <w:szCs w:val="24"/>
        </w:rPr>
        <w:t xml:space="preserve"> </w:t>
      </w:r>
    </w:p>
    <w:p w14:paraId="7FFF0B0B" w14:textId="77777777" w:rsidR="00443864" w:rsidRPr="00443864" w:rsidRDefault="00443864" w:rsidP="00443864">
      <w:pPr>
        <w:jc w:val="both"/>
        <w:rPr>
          <w:rFonts w:ascii="Times New Roman" w:hAnsi="Times New Roman" w:cs="Times New Roman"/>
          <w:sz w:val="24"/>
          <w:szCs w:val="24"/>
        </w:rPr>
      </w:pPr>
    </w:p>
    <w:p w14:paraId="7657A6B2" w14:textId="77777777" w:rsidR="00B065F0" w:rsidRPr="00443864" w:rsidRDefault="00B065F0" w:rsidP="00443864">
      <w:pPr>
        <w:jc w:val="both"/>
        <w:rPr>
          <w:rFonts w:ascii="Times New Roman" w:hAnsi="Times New Roman" w:cs="Times New Roman"/>
          <w:sz w:val="24"/>
          <w:szCs w:val="24"/>
        </w:rPr>
      </w:pPr>
    </w:p>
    <w:sectPr w:rsidR="00B065F0" w:rsidRPr="00443864">
      <w:headerReference w:type="even" r:id="rId8"/>
      <w:headerReference w:type="default" r:id="rId9"/>
      <w:footerReference w:type="even" r:id="rId10"/>
      <w:footerReference w:type="default" r:id="rId11"/>
      <w:headerReference w:type="first" r:id="rId12"/>
      <w:footerReference w:type="first" r:id="rId13"/>
      <w:pgSz w:w="12240" w:h="15840"/>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01EFD" w14:textId="77777777" w:rsidR="00120600" w:rsidRDefault="00120600" w:rsidP="00443864">
      <w:pPr>
        <w:spacing w:after="0" w:line="240" w:lineRule="auto"/>
      </w:pPr>
      <w:r>
        <w:separator/>
      </w:r>
    </w:p>
  </w:endnote>
  <w:endnote w:type="continuationSeparator" w:id="0">
    <w:p w14:paraId="6EA45EE2" w14:textId="77777777" w:rsidR="00120600" w:rsidRDefault="00120600" w:rsidP="0044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02DEF" w14:textId="77777777" w:rsidR="00E23F58" w:rsidRDefault="00527A6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F2F2096" w14:textId="77777777" w:rsidR="00E23F58" w:rsidRDefault="0012060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7904" w14:textId="0B4F675B" w:rsidR="00E23F58" w:rsidRDefault="00527A6B">
    <w:pPr>
      <w:pStyle w:val="AltBilgi"/>
      <w:framePr w:wrap="around" w:vAnchor="text" w:hAnchor="margin" w:xAlign="center" w:y="1"/>
      <w:rPr>
        <w:rStyle w:val="SayfaNumaras"/>
        <w:b/>
      </w:rPr>
    </w:pPr>
    <w:r>
      <w:rPr>
        <w:rStyle w:val="SayfaNumaras"/>
        <w:b/>
      </w:rPr>
      <w:fldChar w:fldCharType="begin"/>
    </w:r>
    <w:r>
      <w:rPr>
        <w:rStyle w:val="SayfaNumaras"/>
        <w:b/>
      </w:rPr>
      <w:instrText xml:space="preserve">PAGE  </w:instrText>
    </w:r>
    <w:r>
      <w:rPr>
        <w:rStyle w:val="SayfaNumaras"/>
        <w:b/>
      </w:rPr>
      <w:fldChar w:fldCharType="separate"/>
    </w:r>
    <w:r w:rsidR="00D95206">
      <w:rPr>
        <w:rStyle w:val="SayfaNumaras"/>
        <w:b/>
      </w:rPr>
      <w:t>7</w:t>
    </w:r>
    <w:r>
      <w:rPr>
        <w:rStyle w:val="SayfaNumaras"/>
        <w:b/>
      </w:rPr>
      <w:fldChar w:fldCharType="end"/>
    </w:r>
  </w:p>
  <w:p w14:paraId="616A7614" w14:textId="77777777" w:rsidR="00E23F58" w:rsidRDefault="0012060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EBB6" w14:textId="77777777" w:rsidR="00B95DB1" w:rsidRDefault="00B95DB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A9296" w14:textId="77777777" w:rsidR="00120600" w:rsidRDefault="00120600" w:rsidP="00443864">
      <w:pPr>
        <w:spacing w:after="0" w:line="240" w:lineRule="auto"/>
      </w:pPr>
      <w:r>
        <w:separator/>
      </w:r>
    </w:p>
  </w:footnote>
  <w:footnote w:type="continuationSeparator" w:id="0">
    <w:p w14:paraId="65DD9900" w14:textId="77777777" w:rsidR="00120600" w:rsidRDefault="00120600" w:rsidP="00443864">
      <w:pPr>
        <w:spacing w:after="0" w:line="240" w:lineRule="auto"/>
      </w:pPr>
      <w:r>
        <w:continuationSeparator/>
      </w:r>
    </w:p>
  </w:footnote>
  <w:footnote w:id="1">
    <w:p w14:paraId="25ACEC44" w14:textId="77777777" w:rsidR="00443864" w:rsidRPr="00443864" w:rsidRDefault="00443864" w:rsidP="00443864">
      <w:pPr>
        <w:jc w:val="both"/>
        <w:rPr>
          <w:rFonts w:ascii="Times New Roman" w:hAnsi="Times New Roman" w:cs="Times New Roman"/>
          <w:sz w:val="20"/>
          <w:szCs w:val="20"/>
        </w:rPr>
      </w:pPr>
      <w:r w:rsidRPr="001936C6">
        <w:rPr>
          <w:rStyle w:val="DipnotBavurusu"/>
        </w:rPr>
        <w:footnoteRef/>
      </w:r>
      <w:r w:rsidRPr="001936C6">
        <w:t xml:space="preserve"> </w:t>
      </w:r>
      <w:r w:rsidRPr="00443864">
        <w:rPr>
          <w:rFonts w:ascii="Times New Roman" w:hAnsi="Times New Roman" w:cs="Times New Roman"/>
          <w:sz w:val="20"/>
          <w:szCs w:val="20"/>
        </w:rPr>
        <w:t>Şemsiye Fon’un türü, Tebliğ’in 6. maddesinde yer alan fon türlerinden ya da bunların dışında Kurulca belirlenen fon türlerinden biri olarak belirlenebilir.</w:t>
      </w:r>
    </w:p>
  </w:footnote>
  <w:footnote w:id="2">
    <w:p w14:paraId="75F0BD19" w14:textId="77777777" w:rsidR="00443864" w:rsidRDefault="00443864" w:rsidP="00443864">
      <w:pPr>
        <w:pStyle w:val="DipnotMetni"/>
        <w:jc w:val="both"/>
      </w:pPr>
      <w:r w:rsidRPr="00443864">
        <w:rPr>
          <w:rStyle w:val="DipnotBavurusu"/>
        </w:rPr>
        <w:footnoteRef/>
      </w:r>
      <w:r w:rsidRPr="00443864">
        <w:t xml:space="preserve"> Altın fonlarında katılma payı alım satımında altın da kullanılacak ise burada “para ya da diğer varlıklarla” ifadesi kullanılır.</w:t>
      </w:r>
      <w:r>
        <w:t xml:space="preserve"> </w:t>
      </w:r>
    </w:p>
  </w:footnote>
  <w:footnote w:id="3">
    <w:p w14:paraId="2F936477" w14:textId="77777777" w:rsidR="00443864" w:rsidRPr="00443864" w:rsidRDefault="00443864" w:rsidP="00443864">
      <w:pPr>
        <w:pStyle w:val="DipnotMetni"/>
      </w:pPr>
      <w:r>
        <w:rPr>
          <w:rStyle w:val="DipnotBavurusu"/>
        </w:rPr>
        <w:footnoteRef/>
      </w:r>
      <w:r>
        <w:t xml:space="preserve"> </w:t>
      </w:r>
      <w:r w:rsidRPr="00443864">
        <w:t>Garantili fonlarda “ve garantiye ilişkin esasları” ifadesine yer verilir.</w:t>
      </w:r>
    </w:p>
  </w:footnote>
  <w:footnote w:id="4">
    <w:p w14:paraId="4481F0C9" w14:textId="77777777" w:rsidR="00443864" w:rsidRPr="00443864" w:rsidRDefault="00443864" w:rsidP="00443864">
      <w:pPr>
        <w:jc w:val="both"/>
        <w:rPr>
          <w:rFonts w:ascii="Times New Roman" w:hAnsi="Times New Roman" w:cs="Times New Roman"/>
          <w:sz w:val="20"/>
          <w:szCs w:val="20"/>
        </w:rPr>
      </w:pPr>
      <w:r w:rsidRPr="00443864">
        <w:rPr>
          <w:rStyle w:val="DipnotBavurusu"/>
          <w:rFonts w:ascii="Times New Roman" w:hAnsi="Times New Roman" w:cs="Times New Roman"/>
          <w:sz w:val="20"/>
          <w:szCs w:val="20"/>
        </w:rPr>
        <w:footnoteRef/>
      </w:r>
      <w:r w:rsidRPr="00443864">
        <w:rPr>
          <w:rFonts w:ascii="Times New Roman" w:hAnsi="Times New Roman" w:cs="Times New Roman"/>
          <w:sz w:val="20"/>
          <w:szCs w:val="20"/>
        </w:rPr>
        <w:t xml:space="preserve"> Tebliğ’in 7. maddesi uyarınca koruma amaçlı ve garantili şemsiye fonların unvanlarında koruma amaçlı veya garantili fon ibarelerinin bulunması yeterlidir.</w:t>
      </w:r>
    </w:p>
  </w:footnote>
  <w:footnote w:id="5">
    <w:p w14:paraId="47FF3AC4" w14:textId="77777777" w:rsidR="00443864" w:rsidRPr="00443864" w:rsidRDefault="00443864" w:rsidP="00443864">
      <w:pPr>
        <w:pStyle w:val="DipnotMetni"/>
      </w:pPr>
      <w:r w:rsidRPr="00443864">
        <w:rPr>
          <w:rStyle w:val="DipnotBavurusu"/>
        </w:rPr>
        <w:footnoteRef/>
      </w:r>
      <w:r w:rsidRPr="00443864">
        <w:t xml:space="preserve"> Serbest fonlar için “Şemsiye Fon’a bağlı fonların katılma payları nitelikli yatırımcılara satılır” ifadesine yer verilir.</w:t>
      </w:r>
    </w:p>
  </w:footnote>
  <w:footnote w:id="6">
    <w:p w14:paraId="257E52B0" w14:textId="77777777" w:rsidR="00443864" w:rsidRDefault="00443864" w:rsidP="00443864">
      <w:pPr>
        <w:pStyle w:val="DipnotMetni"/>
      </w:pPr>
      <w:r>
        <w:rPr>
          <w:rStyle w:val="DipnotBavurusu"/>
        </w:rPr>
        <w:footnoteRef/>
      </w:r>
      <w:r>
        <w:t xml:space="preserve"> Altın fonlarında katılma payı alım satımında altın da kullanılacak ise burada “para ve diğer varlıklar” ifadesi kullanılır.</w:t>
      </w:r>
    </w:p>
  </w:footnote>
  <w:footnote w:id="7">
    <w:p w14:paraId="7A36E979" w14:textId="77777777" w:rsidR="00443864" w:rsidRDefault="00443864" w:rsidP="00443864">
      <w:pPr>
        <w:pStyle w:val="DipnotMetni"/>
      </w:pPr>
      <w:r>
        <w:rPr>
          <w:rStyle w:val="DipnotBavurusu"/>
        </w:rPr>
        <w:footnoteRef/>
      </w:r>
      <w:r>
        <w:t xml:space="preserve"> Bu ifadeye garantili ve korumalı fonlar için yer verilir.</w:t>
      </w:r>
    </w:p>
  </w:footnote>
  <w:footnote w:id="8">
    <w:p w14:paraId="27A7C85C" w14:textId="77777777" w:rsidR="00443864" w:rsidRDefault="00443864" w:rsidP="00443864">
      <w:pPr>
        <w:pStyle w:val="DipnotMetni"/>
        <w:jc w:val="both"/>
      </w:pPr>
      <w:r>
        <w:rPr>
          <w:rStyle w:val="DipnotBavurusu"/>
        </w:rPr>
        <w:footnoteRef/>
      </w:r>
      <w:r>
        <w:t xml:space="preserve"> Serbest Şemsiye Fonlar “türev araç işlemleri” ifadesinden sonra gelmek üzere “açığa satış işlemleri” ifadesine de yer verirler.</w:t>
      </w:r>
    </w:p>
  </w:footnote>
  <w:footnote w:id="9">
    <w:p w14:paraId="6ABE3F92" w14:textId="77777777" w:rsidR="00443864" w:rsidRPr="005D5BEB" w:rsidRDefault="00443864" w:rsidP="00443864">
      <w:pPr>
        <w:pStyle w:val="DipnotMetni"/>
        <w:ind w:right="48"/>
        <w:jc w:val="both"/>
      </w:pPr>
      <w:r w:rsidRPr="005D5BEB">
        <w:rPr>
          <w:rStyle w:val="DipnotBavurusu"/>
        </w:rPr>
        <w:footnoteRef/>
      </w:r>
      <w:r w:rsidRPr="005D5BEB">
        <w:t xml:space="preserve"> Kurucunun </w:t>
      </w:r>
      <w:r>
        <w:t>dışında</w:t>
      </w:r>
      <w:r w:rsidRPr="005D5BEB">
        <w:t xml:space="preserve"> bir yöneticinin belirlenmiş olması halinde bu cümleye yer verilir.</w:t>
      </w:r>
    </w:p>
  </w:footnote>
  <w:footnote w:id="10">
    <w:p w14:paraId="1F99AF30" w14:textId="77777777" w:rsidR="00443864" w:rsidRPr="00443864" w:rsidRDefault="00443864" w:rsidP="00443864">
      <w:pPr>
        <w:jc w:val="both"/>
        <w:rPr>
          <w:rFonts w:ascii="Times New Roman" w:hAnsi="Times New Roman" w:cs="Times New Roman"/>
          <w:sz w:val="20"/>
          <w:szCs w:val="20"/>
        </w:rPr>
      </w:pPr>
      <w:r w:rsidRPr="00443864">
        <w:rPr>
          <w:rStyle w:val="DipnotBavurusu"/>
          <w:rFonts w:ascii="Times New Roman" w:hAnsi="Times New Roman" w:cs="Times New Roman"/>
          <w:sz w:val="20"/>
          <w:szCs w:val="20"/>
        </w:rPr>
        <w:footnoteRef/>
      </w:r>
      <w:r w:rsidRPr="00443864">
        <w:rPr>
          <w:rFonts w:ascii="Times New Roman" w:hAnsi="Times New Roman" w:cs="Times New Roman"/>
          <w:sz w:val="20"/>
          <w:szCs w:val="20"/>
        </w:rPr>
        <w:t xml:space="preserve"> Bu kısımda, koruma amaçlı ve garantili şemsiye fonlar tarafından “</w:t>
      </w:r>
      <w:r w:rsidRPr="00443864">
        <w:rPr>
          <w:rFonts w:ascii="Times New Roman" w:hAnsi="Times New Roman" w:cs="Times New Roman"/>
          <w:i/>
          <w:sz w:val="20"/>
          <w:szCs w:val="20"/>
        </w:rPr>
        <w:t>Fonların hesap dönemi yatırım dönemi süresi bir yıl ve daha kısa olan fonlar için yatırım dönemidir. Yatırım dönemi süresi bir yıldan uzun olan fonlar için ise hesap dönemi, yatırım dönemi başlangıç tarihinden itibaren bir yıldır</w:t>
      </w:r>
      <w:r w:rsidRPr="00443864">
        <w:rPr>
          <w:rFonts w:ascii="Times New Roman" w:hAnsi="Times New Roman" w:cs="Times New Roman"/>
          <w:sz w:val="20"/>
          <w:szCs w:val="20"/>
        </w:rPr>
        <w:t>.” ifadesine de yer verilir.</w:t>
      </w:r>
    </w:p>
  </w:footnote>
  <w:footnote w:id="11">
    <w:p w14:paraId="65E29489" w14:textId="77777777" w:rsidR="00443864" w:rsidRPr="00443864" w:rsidRDefault="00443864" w:rsidP="00443864">
      <w:pPr>
        <w:spacing w:line="240" w:lineRule="atLeast"/>
        <w:jc w:val="both"/>
        <w:rPr>
          <w:rFonts w:ascii="Times New Roman" w:hAnsi="Times New Roman" w:cs="Times New Roman"/>
          <w:i/>
          <w:color w:val="000000"/>
          <w:sz w:val="20"/>
          <w:szCs w:val="20"/>
          <w:lang w:eastAsia="tr-TR"/>
        </w:rPr>
      </w:pPr>
      <w:r w:rsidRPr="00443864">
        <w:rPr>
          <w:rStyle w:val="DipnotBavurusu"/>
          <w:rFonts w:ascii="Times New Roman" w:hAnsi="Times New Roman" w:cs="Times New Roman"/>
          <w:sz w:val="20"/>
          <w:szCs w:val="20"/>
        </w:rPr>
        <w:footnoteRef/>
      </w:r>
      <w:r w:rsidRPr="00443864">
        <w:rPr>
          <w:rFonts w:ascii="Times New Roman" w:hAnsi="Times New Roman" w:cs="Times New Roman"/>
          <w:sz w:val="20"/>
          <w:szCs w:val="20"/>
        </w:rPr>
        <w:t xml:space="preserve"> Garantili ve koruma amaçlı şemsiye fonlar için bu kısımda ayrıca “</w:t>
      </w:r>
      <w:r w:rsidRPr="00443864">
        <w:rPr>
          <w:rFonts w:ascii="Times New Roman" w:hAnsi="Times New Roman" w:cs="Times New Roman"/>
          <w:i/>
          <w:color w:val="000000"/>
          <w:sz w:val="20"/>
          <w:szCs w:val="20"/>
          <w:lang w:eastAsia="tr-TR"/>
        </w:rPr>
        <w:t>Bağımsız denetim yapılan dönemlerde aşağıdaki her bir bent için ilgili bilgileri ve bağımsız denetçi görüşünü içeren ayrı birer rapor hazırlanır ve bağımsız denetim raporu ile birlikte Kurula gönderilir:</w:t>
      </w:r>
    </w:p>
    <w:p w14:paraId="40692C47" w14:textId="77777777" w:rsidR="00443864" w:rsidRPr="00443864" w:rsidRDefault="00443864" w:rsidP="00443864">
      <w:pPr>
        <w:spacing w:line="240" w:lineRule="atLeast"/>
        <w:ind w:firstLine="566"/>
        <w:jc w:val="both"/>
        <w:rPr>
          <w:rFonts w:ascii="Times New Roman" w:hAnsi="Times New Roman" w:cs="Times New Roman"/>
          <w:i/>
          <w:color w:val="000000"/>
          <w:sz w:val="20"/>
          <w:szCs w:val="20"/>
          <w:lang w:eastAsia="tr-TR"/>
        </w:rPr>
      </w:pPr>
      <w:r w:rsidRPr="00443864">
        <w:rPr>
          <w:rFonts w:ascii="Times New Roman" w:hAnsi="Times New Roman" w:cs="Times New Roman"/>
          <w:i/>
          <w:color w:val="000000"/>
          <w:sz w:val="20"/>
          <w:szCs w:val="20"/>
          <w:lang w:eastAsia="tr-TR"/>
        </w:rPr>
        <w:t>a) Fon portföylerindeki varlıkların Kurulca belirlenen esaslara uygun olarak saklanıp saklanmadığı,</w:t>
      </w:r>
    </w:p>
    <w:p w14:paraId="1DD477D6" w14:textId="77777777" w:rsidR="00443864" w:rsidRPr="00443864" w:rsidRDefault="00443864" w:rsidP="00443864">
      <w:pPr>
        <w:spacing w:line="240" w:lineRule="atLeast"/>
        <w:ind w:firstLine="566"/>
        <w:jc w:val="both"/>
        <w:rPr>
          <w:rFonts w:ascii="Times New Roman" w:hAnsi="Times New Roman" w:cs="Times New Roman"/>
          <w:i/>
          <w:color w:val="000000"/>
          <w:sz w:val="20"/>
          <w:szCs w:val="20"/>
          <w:lang w:eastAsia="tr-TR"/>
        </w:rPr>
      </w:pPr>
      <w:r w:rsidRPr="00443864">
        <w:rPr>
          <w:rFonts w:ascii="Times New Roman" w:hAnsi="Times New Roman" w:cs="Times New Roman"/>
          <w:i/>
          <w:color w:val="000000"/>
          <w:sz w:val="20"/>
          <w:szCs w:val="20"/>
          <w:lang w:eastAsia="tr-TR"/>
        </w:rPr>
        <w:t>b) Borsa dışında taraf olunan sözleşmelerin Kurulca belirlenen niteliklere uygunluğunun sağlanması için fon izahnamelerinde belirtilen yöntemlerin uygulanıp uygulanmadığının tespiti de dahil olmak üzere, birim pay değerinin mevzuata ve Tebliğin 9 uncu maddesinde belirtilen değerleme ilkelerine uygun olarak hesaplanıp hesaplanmadığı,</w:t>
      </w:r>
    </w:p>
    <w:p w14:paraId="7B0610A0" w14:textId="77777777" w:rsidR="00443864" w:rsidRPr="00443864" w:rsidRDefault="00443864" w:rsidP="00443864">
      <w:pPr>
        <w:spacing w:line="240" w:lineRule="atLeast"/>
        <w:ind w:firstLine="566"/>
        <w:jc w:val="both"/>
        <w:rPr>
          <w:rFonts w:ascii="Times New Roman" w:hAnsi="Times New Roman" w:cs="Times New Roman"/>
          <w:sz w:val="20"/>
          <w:szCs w:val="20"/>
        </w:rPr>
      </w:pPr>
      <w:r w:rsidRPr="00443864">
        <w:rPr>
          <w:rFonts w:ascii="Times New Roman" w:hAnsi="Times New Roman" w:cs="Times New Roman"/>
          <w:i/>
          <w:color w:val="000000"/>
          <w:sz w:val="20"/>
          <w:szCs w:val="20"/>
          <w:lang w:eastAsia="tr-TR"/>
        </w:rPr>
        <w:t>c) Risk kontrol sistemini de içeren iç kontrol sisteminin mevzuatta belirtilen asgari esas ve usulleri içerip içermediği</w:t>
      </w:r>
      <w:r w:rsidRPr="00443864">
        <w:rPr>
          <w:rFonts w:ascii="Times New Roman" w:hAnsi="Times New Roman" w:cs="Times New Roman"/>
          <w:color w:val="000000"/>
          <w:sz w:val="20"/>
          <w:szCs w:val="20"/>
          <w:lang w:eastAsia="tr-TR"/>
        </w:rPr>
        <w:t>.</w:t>
      </w:r>
      <w:r w:rsidRPr="00443864">
        <w:rPr>
          <w:rFonts w:ascii="Times New Roman" w:hAnsi="Times New Roman" w:cs="Times New Roman"/>
          <w:sz w:val="20"/>
          <w:szCs w:val="20"/>
        </w:rPr>
        <w:t>” ifadesine yer verilir.</w:t>
      </w:r>
    </w:p>
  </w:footnote>
  <w:footnote w:id="12">
    <w:p w14:paraId="32B8B9B2" w14:textId="77777777" w:rsidR="00443864" w:rsidRPr="00443864" w:rsidRDefault="00443864" w:rsidP="00443864">
      <w:pPr>
        <w:pStyle w:val="DipnotMetni"/>
        <w:jc w:val="both"/>
        <w:rPr>
          <w:color w:val="000000"/>
        </w:rPr>
      </w:pPr>
      <w:r w:rsidRPr="00443864">
        <w:rPr>
          <w:rStyle w:val="DipnotBavurusu"/>
        </w:rPr>
        <w:footnoteRef/>
      </w:r>
      <w:r w:rsidRPr="00443864">
        <w:t xml:space="preserve"> </w:t>
      </w:r>
      <w:r w:rsidRPr="00443864">
        <w:rPr>
          <w:color w:val="000000"/>
        </w:rPr>
        <w:t>Garantili ve koruma amaçlı şemsiye fonlar için bu ifadenin yerine “</w:t>
      </w:r>
      <w:r w:rsidRPr="00443864">
        <w:rPr>
          <w:i/>
          <w:color w:val="000000"/>
        </w:rPr>
        <w:t xml:space="preserve">Fonlar yatırım dönemi sonu itibarıyla özel bağımsız denetime tabidir.” </w:t>
      </w:r>
      <w:r w:rsidRPr="00443864">
        <w:rPr>
          <w:color w:val="000000"/>
        </w:rPr>
        <w:t>ifadesine yer verilir.</w:t>
      </w:r>
    </w:p>
  </w:footnote>
  <w:footnote w:id="13">
    <w:p w14:paraId="73B8A6F8" w14:textId="77777777" w:rsidR="00443864" w:rsidRPr="00443864" w:rsidRDefault="00443864" w:rsidP="00443864">
      <w:pPr>
        <w:jc w:val="both"/>
        <w:rPr>
          <w:rFonts w:ascii="Times New Roman" w:hAnsi="Times New Roman" w:cs="Times New Roman"/>
          <w:sz w:val="20"/>
          <w:szCs w:val="20"/>
        </w:rPr>
      </w:pPr>
      <w:r w:rsidRPr="00443864">
        <w:rPr>
          <w:rFonts w:ascii="Times New Roman" w:hAnsi="Times New Roman" w:cs="Times New Roman"/>
          <w:color w:val="000000"/>
          <w:sz w:val="20"/>
          <w:szCs w:val="20"/>
          <w:vertAlign w:val="superscript"/>
        </w:rPr>
        <w:footnoteRef/>
      </w:r>
      <w:r w:rsidRPr="00443864">
        <w:rPr>
          <w:rFonts w:ascii="Times New Roman" w:hAnsi="Times New Roman" w:cs="Times New Roman"/>
          <w:color w:val="000000"/>
          <w:sz w:val="20"/>
          <w:szCs w:val="20"/>
        </w:rPr>
        <w:t xml:space="preserve"> Garantili ve koruma amaçlı şemsiye fonlarda bu kısımda ayrıca “</w:t>
      </w:r>
      <w:r w:rsidRPr="00443864">
        <w:rPr>
          <w:rFonts w:ascii="Times New Roman" w:hAnsi="Times New Roman" w:cs="Times New Roman"/>
          <w:i/>
          <w:color w:val="000000"/>
          <w:sz w:val="20"/>
          <w:szCs w:val="20"/>
        </w:rPr>
        <w:t>Hesap dönemi sonunda ayrıca temettü dağıtımı söz konusu değildir. Yatırımcıların fonların yatırım dönemi sona ermeden önce paylarını satmaları durumunda yatırım dönemi sonu için hedeflenen anapara korunmasından yararlanmaları mümkün değildir</w:t>
      </w:r>
      <w:r w:rsidRPr="00443864">
        <w:rPr>
          <w:rFonts w:ascii="Times New Roman" w:hAnsi="Times New Roman" w:cs="Times New Roman"/>
          <w:color w:val="000000"/>
          <w:sz w:val="20"/>
          <w:szCs w:val="20"/>
        </w:rPr>
        <w:t>” ifadesine yer verilir.</w:t>
      </w:r>
    </w:p>
  </w:footnote>
  <w:footnote w:id="14">
    <w:p w14:paraId="772FAC1D" w14:textId="6BB9FAEF" w:rsidR="00443864" w:rsidRDefault="00443864" w:rsidP="000206D2">
      <w:pPr>
        <w:pStyle w:val="DipnotMetni"/>
        <w:jc w:val="both"/>
      </w:pPr>
      <w:r>
        <w:rPr>
          <w:rStyle w:val="DipnotBavurusu"/>
        </w:rPr>
        <w:footnoteRef/>
      </w:r>
      <w:r>
        <w:t xml:space="preserve"> Serbest şemsiye fonlar tarafından </w:t>
      </w:r>
      <w:r w:rsidR="000206D2">
        <w:t xml:space="preserve">“Serbest Şemsiye Fon’a bağlı fonlardan </w:t>
      </w:r>
      <w:proofErr w:type="spellStart"/>
      <w:r w:rsidR="000206D2">
        <w:t>TEFAS’ta</w:t>
      </w:r>
      <w:proofErr w:type="spellEnd"/>
      <w:r w:rsidR="000206D2">
        <w:t xml:space="preserve"> işlem görenler için </w:t>
      </w:r>
      <w:r w:rsidR="000206D2" w:rsidRPr="000206D2">
        <w:t xml:space="preserve">aylık olarak hazırlanan portföy dağılım raporları, ilgili ayı takip eden altı iş günü içinde </w:t>
      </w:r>
      <w:proofErr w:type="spellStart"/>
      <w:r w:rsidR="000206D2" w:rsidRPr="000206D2">
        <w:t>KAP’ta</w:t>
      </w:r>
      <w:proofErr w:type="spellEnd"/>
      <w:r w:rsidR="000206D2" w:rsidRPr="000206D2">
        <w:t xml:space="preserve"> açıklanır</w:t>
      </w:r>
      <w:r w:rsidR="000206D2">
        <w:t xml:space="preserve">.” hükmüne yer verilir. </w:t>
      </w:r>
    </w:p>
  </w:footnote>
  <w:footnote w:id="15">
    <w:p w14:paraId="7AEAD58F" w14:textId="77777777" w:rsidR="00443864" w:rsidRPr="00443864" w:rsidRDefault="00443864" w:rsidP="00443864">
      <w:pPr>
        <w:spacing w:line="240" w:lineRule="atLeast"/>
        <w:jc w:val="both"/>
        <w:rPr>
          <w:rFonts w:ascii="Times New Roman" w:hAnsi="Times New Roman" w:cs="Times New Roman"/>
          <w:sz w:val="20"/>
          <w:szCs w:val="20"/>
        </w:rPr>
      </w:pPr>
      <w:r w:rsidRPr="00443864">
        <w:rPr>
          <w:rStyle w:val="DipnotBavurusu"/>
          <w:rFonts w:ascii="Times New Roman" w:hAnsi="Times New Roman" w:cs="Times New Roman"/>
          <w:sz w:val="20"/>
          <w:szCs w:val="20"/>
        </w:rPr>
        <w:footnoteRef/>
      </w:r>
      <w:r w:rsidRPr="00443864">
        <w:rPr>
          <w:rFonts w:ascii="Times New Roman" w:hAnsi="Times New Roman" w:cs="Times New Roman"/>
          <w:sz w:val="20"/>
          <w:szCs w:val="20"/>
        </w:rPr>
        <w:t xml:space="preserve"> Serbest fonlar tarafından </w:t>
      </w:r>
      <w:r w:rsidRPr="00443864">
        <w:rPr>
          <w:rFonts w:ascii="Times New Roman" w:hAnsi="Times New Roman" w:cs="Times New Roman"/>
          <w:i/>
          <w:sz w:val="20"/>
          <w:szCs w:val="20"/>
        </w:rPr>
        <w:t>“</w:t>
      </w:r>
      <w:r w:rsidRPr="00443864">
        <w:rPr>
          <w:rFonts w:ascii="Times New Roman" w:eastAsia="Calibri" w:hAnsi="Times New Roman" w:cs="Times New Roman"/>
          <w:i/>
          <w:sz w:val="20"/>
          <w:szCs w:val="20"/>
          <w:lang w:eastAsia="tr-TR"/>
        </w:rPr>
        <w:t xml:space="preserve">Fona ilişkin olarak yapılacak tanıtım ve reklamlarda, Kurul düzenlemelerinde yer alan nitelikli yatırımcı tanımına ve satışın yalnızca gerekli koşulları sağlayan nitelikli yatırımcılara yapılacağı hususlarına yer verilmesi zorunludur.” </w:t>
      </w:r>
      <w:r w:rsidRPr="00443864">
        <w:rPr>
          <w:rFonts w:ascii="Times New Roman" w:eastAsia="Calibri" w:hAnsi="Times New Roman" w:cs="Times New Roman"/>
          <w:sz w:val="20"/>
          <w:szCs w:val="20"/>
          <w:lang w:eastAsia="tr-TR"/>
        </w:rPr>
        <w:t xml:space="preserve">ifadesine, özel fonlar tarafından ise, </w:t>
      </w:r>
      <w:r w:rsidRPr="00443864">
        <w:rPr>
          <w:rFonts w:ascii="Times New Roman" w:eastAsia="Calibri" w:hAnsi="Times New Roman" w:cs="Times New Roman"/>
          <w:i/>
          <w:sz w:val="20"/>
          <w:szCs w:val="20"/>
          <w:lang w:eastAsia="tr-TR"/>
        </w:rPr>
        <w:t>“Fona ilişkin olarak reklam ve ilan verilemez.”</w:t>
      </w:r>
      <w:r w:rsidRPr="00443864">
        <w:rPr>
          <w:rFonts w:ascii="Times New Roman" w:eastAsia="Calibri" w:hAnsi="Times New Roman" w:cs="Times New Roman"/>
          <w:sz w:val="20"/>
          <w:szCs w:val="20"/>
          <w:lang w:eastAsia="tr-TR"/>
        </w:rPr>
        <w:t xml:space="preserve"> ifadesine yer verilir.</w:t>
      </w:r>
    </w:p>
  </w:footnote>
  <w:footnote w:id="16">
    <w:p w14:paraId="1E0FC710" w14:textId="77777777" w:rsidR="00443864" w:rsidRPr="00443864" w:rsidRDefault="00443864" w:rsidP="00443864">
      <w:pPr>
        <w:jc w:val="both"/>
        <w:rPr>
          <w:rFonts w:ascii="Times New Roman" w:hAnsi="Times New Roman" w:cs="Times New Roman"/>
          <w:sz w:val="20"/>
          <w:szCs w:val="20"/>
        </w:rPr>
      </w:pPr>
      <w:r w:rsidRPr="00443864">
        <w:rPr>
          <w:rStyle w:val="DipnotBavurusu"/>
          <w:rFonts w:ascii="Times New Roman" w:hAnsi="Times New Roman" w:cs="Times New Roman"/>
          <w:sz w:val="20"/>
          <w:szCs w:val="20"/>
        </w:rPr>
        <w:footnoteRef/>
      </w:r>
      <w:r w:rsidRPr="00443864">
        <w:rPr>
          <w:rFonts w:ascii="Times New Roman" w:hAnsi="Times New Roman" w:cs="Times New Roman"/>
          <w:sz w:val="20"/>
          <w:szCs w:val="20"/>
        </w:rPr>
        <w:t xml:space="preserve"> Kurucu tarafından belirlenen diğer esaslara yer verilir.</w:t>
      </w:r>
    </w:p>
  </w:footnote>
  <w:footnote w:id="17">
    <w:p w14:paraId="25A193DD" w14:textId="47CA7A31" w:rsidR="000D2EE0" w:rsidRDefault="00443864" w:rsidP="000D2EE0">
      <w:pPr>
        <w:pStyle w:val="DipnotMetni"/>
      </w:pPr>
      <w:r w:rsidRPr="00443864">
        <w:rPr>
          <w:rStyle w:val="DipnotBavurusu"/>
        </w:rPr>
        <w:footnoteRef/>
      </w:r>
      <w:r w:rsidRPr="00443864">
        <w:t xml:space="preserve"> İçtüzüğün, </w:t>
      </w:r>
      <w:r w:rsidR="000D2EE0">
        <w:t xml:space="preserve">Şirket </w:t>
      </w:r>
      <w:r w:rsidR="000D2EE0" w:rsidRPr="002C1E87">
        <w:t>imza sirküleri çerçevesinde Şirketi temsile yetkili kişiler tarafından</w:t>
      </w:r>
      <w:r w:rsidR="000D2EE0">
        <w:t xml:space="preserve"> imzalanması gerekmektedir.</w:t>
      </w:r>
    </w:p>
    <w:p w14:paraId="6795312C" w14:textId="1AB8264A" w:rsidR="00443864" w:rsidRDefault="00443864" w:rsidP="000D2EE0">
      <w:pPr>
        <w:pStyle w:val="DipnotMetni"/>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BF48F" w14:textId="77777777" w:rsidR="00B95DB1" w:rsidRDefault="00B95DB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2639" w14:textId="77777777" w:rsidR="00B95DB1" w:rsidRDefault="00B95DB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7D33" w14:textId="77777777" w:rsidR="00B95DB1" w:rsidRDefault="00B95DB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864"/>
    <w:rsid w:val="000206D2"/>
    <w:rsid w:val="000D2EE0"/>
    <w:rsid w:val="00120600"/>
    <w:rsid w:val="00443864"/>
    <w:rsid w:val="00447E38"/>
    <w:rsid w:val="004E06FB"/>
    <w:rsid w:val="004F7C18"/>
    <w:rsid w:val="00527A6B"/>
    <w:rsid w:val="0070263A"/>
    <w:rsid w:val="007361A2"/>
    <w:rsid w:val="00751681"/>
    <w:rsid w:val="007B696E"/>
    <w:rsid w:val="00A7095D"/>
    <w:rsid w:val="00B065F0"/>
    <w:rsid w:val="00B95DB1"/>
    <w:rsid w:val="00BF3C8F"/>
    <w:rsid w:val="00D95206"/>
    <w:rsid w:val="00DB6F2E"/>
    <w:rsid w:val="00E7112C"/>
    <w:rsid w:val="00E96398"/>
    <w:rsid w:val="00ED44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2CC0D"/>
  <w15:chartTrackingRefBased/>
  <w15:docId w15:val="{584FF7EC-C171-49FE-9979-31AED60F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44386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43864"/>
    <w:rPr>
      <w:noProof/>
    </w:rPr>
  </w:style>
  <w:style w:type="character" w:styleId="SayfaNumaras">
    <w:name w:val="page number"/>
    <w:basedOn w:val="VarsaylanParagrafYazTipi"/>
    <w:rsid w:val="00443864"/>
  </w:style>
  <w:style w:type="paragraph" w:styleId="DipnotMetni">
    <w:name w:val="footnote text"/>
    <w:basedOn w:val="Normal"/>
    <w:link w:val="DipnotMetniChar"/>
    <w:uiPriority w:val="99"/>
    <w:semiHidden/>
    <w:rsid w:val="00443864"/>
    <w:pPr>
      <w:spacing w:after="0" w:line="240" w:lineRule="auto"/>
    </w:pPr>
    <w:rPr>
      <w:rFonts w:ascii="Times New Roman" w:eastAsia="Times New Roman" w:hAnsi="Times New Roman" w:cs="Times New Roman"/>
      <w:noProof w:val="0"/>
      <w:sz w:val="20"/>
      <w:szCs w:val="20"/>
    </w:rPr>
  </w:style>
  <w:style w:type="character" w:customStyle="1" w:styleId="DipnotMetniChar">
    <w:name w:val="Dipnot Metni Char"/>
    <w:basedOn w:val="VarsaylanParagrafYazTipi"/>
    <w:link w:val="DipnotMetni"/>
    <w:uiPriority w:val="99"/>
    <w:semiHidden/>
    <w:rsid w:val="00443864"/>
    <w:rPr>
      <w:rFonts w:ascii="Times New Roman" w:eastAsia="Times New Roman" w:hAnsi="Times New Roman" w:cs="Times New Roman"/>
      <w:sz w:val="20"/>
      <w:szCs w:val="20"/>
    </w:rPr>
  </w:style>
  <w:style w:type="character" w:styleId="DipnotBavurusu">
    <w:name w:val="footnote reference"/>
    <w:uiPriority w:val="99"/>
    <w:qFormat/>
    <w:rsid w:val="00443864"/>
    <w:rPr>
      <w:vertAlign w:val="superscript"/>
    </w:rPr>
  </w:style>
  <w:style w:type="character" w:styleId="AklamaBavurusu">
    <w:name w:val="annotation reference"/>
    <w:semiHidden/>
    <w:rsid w:val="00443864"/>
    <w:rPr>
      <w:sz w:val="16"/>
    </w:rPr>
  </w:style>
  <w:style w:type="paragraph" w:styleId="AklamaMetni">
    <w:name w:val="annotation text"/>
    <w:basedOn w:val="Normal"/>
    <w:link w:val="AklamaMetniChar"/>
    <w:semiHidden/>
    <w:rsid w:val="00443864"/>
    <w:pPr>
      <w:spacing w:after="0" w:line="240" w:lineRule="auto"/>
    </w:pPr>
    <w:rPr>
      <w:rFonts w:ascii="Times New Roman" w:eastAsia="Times New Roman" w:hAnsi="Times New Roman" w:cs="Times New Roman"/>
      <w:noProof w:val="0"/>
      <w:sz w:val="20"/>
      <w:szCs w:val="20"/>
    </w:rPr>
  </w:style>
  <w:style w:type="character" w:customStyle="1" w:styleId="AklamaMetniChar">
    <w:name w:val="Açıklama Metni Char"/>
    <w:basedOn w:val="VarsaylanParagrafYazTipi"/>
    <w:link w:val="AklamaMetni"/>
    <w:semiHidden/>
    <w:rsid w:val="00443864"/>
    <w:rPr>
      <w:rFonts w:ascii="Times New Roman" w:eastAsia="Times New Roman" w:hAnsi="Times New Roman" w:cs="Times New Roman"/>
      <w:sz w:val="20"/>
      <w:szCs w:val="20"/>
    </w:rPr>
  </w:style>
  <w:style w:type="paragraph" w:styleId="BalonMetni">
    <w:name w:val="Balloon Text"/>
    <w:basedOn w:val="Normal"/>
    <w:link w:val="BalonMetniChar"/>
    <w:uiPriority w:val="99"/>
    <w:semiHidden/>
    <w:unhideWhenUsed/>
    <w:rsid w:val="004438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43864"/>
    <w:rPr>
      <w:rFonts w:ascii="Segoe UI" w:hAnsi="Segoe UI" w:cs="Segoe UI"/>
      <w:noProof/>
      <w:sz w:val="18"/>
      <w:szCs w:val="18"/>
    </w:rPr>
  </w:style>
  <w:style w:type="paragraph" w:styleId="stBilgi">
    <w:name w:val="header"/>
    <w:basedOn w:val="Normal"/>
    <w:link w:val="stBilgiChar"/>
    <w:uiPriority w:val="99"/>
    <w:unhideWhenUsed/>
    <w:rsid w:val="00B95DB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95DB1"/>
    <w:rPr>
      <w:noProof/>
    </w:rPr>
  </w:style>
  <w:style w:type="paragraph" w:styleId="Dzeltme">
    <w:name w:val="Revision"/>
    <w:hidden/>
    <w:uiPriority w:val="99"/>
    <w:semiHidden/>
    <w:rsid w:val="00DB6F2E"/>
    <w:pPr>
      <w:spacing w:after="0" w:line="240" w:lineRule="auto"/>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10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CSIdentity xmlns="urn:dlp:dcs:identity">
  <DocId>9FC55D3F</DocId>
</DCSIdentity>
</file>

<file path=customXml/item2.xml><?xml version="1.0" encoding="utf-8"?>
<DCSMarking xmlns="urn:dlp:dcs:marking">
  <Header/>
  <HeaderAlign/>
  <Footer/>
  <FooterAlign/>
</DCSMarking>
</file>

<file path=customXml/itemProps1.xml><?xml version="1.0" encoding="utf-8"?>
<ds:datastoreItem xmlns:ds="http://schemas.openxmlformats.org/officeDocument/2006/customXml" ds:itemID="{CB7C3A19-97C0-436A-8F12-793BA26367CD}">
  <ds:schemaRefs>
    <ds:schemaRef ds:uri="urn:dlp:dcs:identity"/>
  </ds:schemaRefs>
</ds:datastoreItem>
</file>

<file path=customXml/itemProps2.xml><?xml version="1.0" encoding="utf-8"?>
<ds:datastoreItem xmlns:ds="http://schemas.openxmlformats.org/officeDocument/2006/customXml" ds:itemID="{AF6C3975-6480-44C0-A1A3-0713C4548420}">
  <ds:schemaRefs>
    <ds:schemaRef ds:uri="urn:dlp:dcs:marking"/>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2320</Words>
  <Characters>13226</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ATASOY</dc:creator>
  <cp:keywords/>
  <dc:description/>
  <cp:lastModifiedBy>Deniz İlayda ÇELİK</cp:lastModifiedBy>
  <cp:revision>3</cp:revision>
  <dcterms:created xsi:type="dcterms:W3CDTF">2026-09-07T11:31:00Z</dcterms:created>
  <dcterms:modified xsi:type="dcterms:W3CDTF">2026-09-07T11:36:00Z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TSDCSDocId">
    <vt:lpwstr>9FC55D3F</vt:lpwstr>
  </property>
</Properties>
</file>